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E130D">
      <w:pPr>
        <w:spacing w:line="360" w:lineRule="auto"/>
        <w:jc w:val="center"/>
        <w:rPr>
          <w:rFonts w:hint="eastAsia" w:ascii="宋体" w:hAnsi="宋体"/>
          <w:b/>
          <w:color w:val="000000"/>
          <w:sz w:val="52"/>
          <w:szCs w:val="52"/>
          <w:highlight w:val="none"/>
          <w:lang w:eastAsia="zh-CN"/>
        </w:rPr>
      </w:pPr>
      <w:r>
        <w:rPr>
          <w:rFonts w:hint="eastAsia" w:ascii="宋体" w:hAnsi="宋体"/>
          <w:b/>
          <w:color w:val="000000"/>
          <w:sz w:val="52"/>
          <w:szCs w:val="52"/>
          <w:highlight w:val="none"/>
          <w:lang w:eastAsia="zh-CN"/>
        </w:rPr>
        <w:t>潮阳农村商业银行铜盂支行营业厅、办公场所装修改造项目</w:t>
      </w:r>
    </w:p>
    <w:p w14:paraId="16F52B37">
      <w:pPr>
        <w:spacing w:line="360" w:lineRule="auto"/>
        <w:jc w:val="center"/>
        <w:rPr>
          <w:rFonts w:hint="eastAsia" w:ascii="宋体" w:hAnsi="宋体" w:eastAsia="宋体"/>
          <w:b/>
          <w:color w:val="000000"/>
          <w:sz w:val="32"/>
          <w:szCs w:val="32"/>
          <w:highlight w:val="none"/>
          <w:lang w:eastAsia="zh-CN"/>
        </w:rPr>
      </w:pPr>
      <w:r>
        <w:rPr>
          <w:rFonts w:hint="eastAsia" w:ascii="宋体" w:hAnsi="宋体"/>
          <w:b/>
          <w:color w:val="000000"/>
          <w:sz w:val="32"/>
          <w:szCs w:val="32"/>
          <w:highlight w:val="none"/>
        </w:rPr>
        <w:t>项目编号：</w:t>
      </w:r>
      <w:r>
        <w:rPr>
          <w:rFonts w:hint="eastAsia" w:ascii="宋体" w:hAnsi="宋体"/>
          <w:b/>
          <w:color w:val="000000"/>
          <w:sz w:val="32"/>
          <w:szCs w:val="32"/>
          <w:highlight w:val="none"/>
          <w:lang w:eastAsia="zh-CN"/>
        </w:rPr>
        <w:t xml:space="preserve"> GDQSST2024GG10001S</w:t>
      </w:r>
    </w:p>
    <w:p w14:paraId="16B7CF5E">
      <w:pPr>
        <w:spacing w:line="360" w:lineRule="auto"/>
        <w:jc w:val="center"/>
        <w:rPr>
          <w:rFonts w:ascii="宋体" w:hAnsi="宋体"/>
          <w:b/>
          <w:color w:val="000000"/>
          <w:w w:val="150"/>
          <w:sz w:val="96"/>
          <w:highlight w:val="none"/>
        </w:rPr>
      </w:pPr>
      <w:r>
        <w:rPr>
          <w:rFonts w:hint="eastAsia" w:ascii="宋体" w:hAnsi="宋体"/>
          <w:b/>
          <w:color w:val="000000"/>
          <w:w w:val="150"/>
          <w:sz w:val="96"/>
          <w:highlight w:val="none"/>
        </w:rPr>
        <w:t>招</w:t>
      </w:r>
    </w:p>
    <w:p w14:paraId="7300B9CB">
      <w:pPr>
        <w:spacing w:line="360" w:lineRule="auto"/>
        <w:jc w:val="center"/>
        <w:rPr>
          <w:rFonts w:ascii="宋体" w:hAnsi="宋体"/>
          <w:b/>
          <w:color w:val="000000"/>
          <w:w w:val="150"/>
          <w:sz w:val="96"/>
          <w:highlight w:val="none"/>
        </w:rPr>
      </w:pPr>
    </w:p>
    <w:p w14:paraId="45DD6AD1">
      <w:pPr>
        <w:spacing w:line="360" w:lineRule="auto"/>
        <w:jc w:val="center"/>
        <w:rPr>
          <w:rFonts w:ascii="宋体" w:hAnsi="宋体"/>
          <w:b/>
          <w:color w:val="000000"/>
          <w:w w:val="150"/>
          <w:sz w:val="96"/>
          <w:highlight w:val="none"/>
        </w:rPr>
      </w:pPr>
      <w:r>
        <w:rPr>
          <w:rFonts w:hint="eastAsia" w:ascii="宋体" w:hAnsi="宋体"/>
          <w:b/>
          <w:color w:val="000000"/>
          <w:w w:val="150"/>
          <w:sz w:val="96"/>
          <w:highlight w:val="none"/>
        </w:rPr>
        <w:t>标</w:t>
      </w:r>
    </w:p>
    <w:p w14:paraId="74DF97CA">
      <w:pPr>
        <w:spacing w:line="360" w:lineRule="auto"/>
        <w:jc w:val="center"/>
        <w:rPr>
          <w:rFonts w:ascii="宋体" w:hAnsi="宋体"/>
          <w:b/>
          <w:color w:val="000000"/>
          <w:w w:val="150"/>
          <w:sz w:val="96"/>
          <w:highlight w:val="none"/>
        </w:rPr>
      </w:pPr>
    </w:p>
    <w:p w14:paraId="251197A6">
      <w:pPr>
        <w:spacing w:line="360" w:lineRule="auto"/>
        <w:jc w:val="center"/>
        <w:rPr>
          <w:rFonts w:ascii="宋体" w:hAnsi="宋体"/>
          <w:b/>
          <w:color w:val="000000"/>
          <w:w w:val="150"/>
          <w:sz w:val="96"/>
          <w:highlight w:val="none"/>
        </w:rPr>
      </w:pPr>
      <w:r>
        <w:rPr>
          <w:rFonts w:hint="eastAsia" w:ascii="宋体" w:hAnsi="宋体"/>
          <w:b/>
          <w:color w:val="000000"/>
          <w:w w:val="150"/>
          <w:sz w:val="96"/>
          <w:highlight w:val="none"/>
        </w:rPr>
        <w:t>文</w:t>
      </w:r>
    </w:p>
    <w:p w14:paraId="6C5F991D">
      <w:pPr>
        <w:spacing w:line="360" w:lineRule="auto"/>
        <w:jc w:val="center"/>
        <w:rPr>
          <w:rFonts w:ascii="宋体" w:hAnsi="宋体"/>
          <w:b/>
          <w:color w:val="000000"/>
          <w:w w:val="150"/>
          <w:sz w:val="96"/>
          <w:highlight w:val="none"/>
        </w:rPr>
      </w:pPr>
    </w:p>
    <w:p w14:paraId="2876E1FF">
      <w:pPr>
        <w:spacing w:line="360" w:lineRule="auto"/>
        <w:jc w:val="center"/>
        <w:rPr>
          <w:rFonts w:ascii="宋体" w:hAnsi="宋体"/>
          <w:b/>
          <w:color w:val="000000"/>
          <w:w w:val="150"/>
          <w:sz w:val="96"/>
          <w:highlight w:val="none"/>
        </w:rPr>
      </w:pPr>
      <w:r>
        <w:rPr>
          <w:rFonts w:hint="eastAsia" w:ascii="宋体" w:hAnsi="宋体"/>
          <w:b/>
          <w:color w:val="000000"/>
          <w:w w:val="150"/>
          <w:sz w:val="96"/>
          <w:highlight w:val="none"/>
        </w:rPr>
        <w:t>件</w:t>
      </w:r>
    </w:p>
    <w:p w14:paraId="224D3E57">
      <w:pPr>
        <w:snapToGrid w:val="0"/>
        <w:spacing w:line="360" w:lineRule="auto"/>
        <w:jc w:val="center"/>
        <w:rPr>
          <w:rFonts w:ascii="宋体" w:hAnsi="宋体"/>
          <w:b/>
          <w:bCs/>
          <w:color w:val="000000"/>
          <w:sz w:val="32"/>
          <w:szCs w:val="32"/>
          <w:highlight w:val="none"/>
        </w:rPr>
      </w:pPr>
    </w:p>
    <w:p w14:paraId="0A4B87FD">
      <w:pPr>
        <w:pStyle w:val="36"/>
        <w:rPr>
          <w:highlight w:val="none"/>
        </w:rPr>
      </w:pPr>
    </w:p>
    <w:p w14:paraId="5B203101">
      <w:pPr>
        <w:snapToGrid w:val="0"/>
        <w:spacing w:line="360" w:lineRule="auto"/>
        <w:jc w:val="center"/>
        <w:rPr>
          <w:rFonts w:ascii="宋体" w:hAnsi="宋体"/>
          <w:b/>
          <w:bCs/>
          <w:color w:val="000000"/>
          <w:sz w:val="32"/>
          <w:szCs w:val="32"/>
          <w:highlight w:val="none"/>
        </w:rPr>
      </w:pPr>
      <w:r>
        <w:rPr>
          <w:rFonts w:hint="eastAsia" w:ascii="宋体" w:hAnsi="宋体"/>
          <w:b/>
          <w:bCs/>
          <w:color w:val="000000"/>
          <w:sz w:val="32"/>
          <w:szCs w:val="32"/>
          <w:highlight w:val="none"/>
        </w:rPr>
        <w:t>采购人：广东潮阳农村商业银行股份有限公司</w:t>
      </w:r>
    </w:p>
    <w:p w14:paraId="2EC4B21C">
      <w:pPr>
        <w:snapToGrid w:val="0"/>
        <w:spacing w:line="360" w:lineRule="auto"/>
        <w:jc w:val="center"/>
        <w:rPr>
          <w:rFonts w:ascii="宋体" w:hAnsi="宋体"/>
          <w:b/>
          <w:color w:val="000000"/>
          <w:sz w:val="32"/>
          <w:szCs w:val="32"/>
          <w:highlight w:val="none"/>
        </w:rPr>
      </w:pPr>
      <w:r>
        <w:rPr>
          <w:rFonts w:hint="eastAsia" w:ascii="宋体" w:hAnsi="宋体"/>
          <w:b/>
          <w:color w:val="000000"/>
          <w:sz w:val="32"/>
          <w:szCs w:val="32"/>
          <w:highlight w:val="none"/>
        </w:rPr>
        <w:t>采购代理机构：广东群升招标代理有限公司</w:t>
      </w:r>
    </w:p>
    <w:p w14:paraId="375258F7">
      <w:pPr>
        <w:autoSpaceDE w:val="0"/>
        <w:autoSpaceDN w:val="0"/>
        <w:adjustRightInd w:val="0"/>
        <w:spacing w:line="312" w:lineRule="atLeast"/>
        <w:jc w:val="center"/>
        <w:rPr>
          <w:b/>
          <w:color w:val="FF0000"/>
          <w:kern w:val="0"/>
          <w:sz w:val="32"/>
          <w:szCs w:val="20"/>
          <w:highlight w:val="none"/>
        </w:rPr>
      </w:pPr>
      <w:r>
        <w:rPr>
          <w:rFonts w:hint="eastAsia" w:ascii="宋体" w:hAnsi="宋体" w:cs="宋体"/>
          <w:b/>
          <w:color w:val="000000"/>
          <w:sz w:val="36"/>
          <w:szCs w:val="36"/>
          <w:highlight w:val="none"/>
        </w:rPr>
        <w:t>二〇二</w:t>
      </w:r>
      <w:r>
        <w:rPr>
          <w:rFonts w:hint="eastAsia" w:ascii="宋体" w:hAnsi="宋体" w:cs="宋体"/>
          <w:b/>
          <w:color w:val="000000"/>
          <w:sz w:val="36"/>
          <w:szCs w:val="36"/>
          <w:highlight w:val="none"/>
          <w:lang w:val="en-US" w:eastAsia="zh-CN"/>
        </w:rPr>
        <w:t>四</w:t>
      </w:r>
      <w:r>
        <w:rPr>
          <w:rFonts w:hint="eastAsia" w:ascii="宋体" w:hAnsi="宋体" w:cs="宋体"/>
          <w:b/>
          <w:color w:val="000000"/>
          <w:sz w:val="36"/>
          <w:szCs w:val="36"/>
          <w:highlight w:val="none"/>
        </w:rPr>
        <w:t>年</w:t>
      </w:r>
      <w:r>
        <w:rPr>
          <w:rFonts w:hint="eastAsia" w:ascii="宋体" w:hAnsi="宋体" w:cs="宋体"/>
          <w:b/>
          <w:color w:val="000000"/>
          <w:sz w:val="36"/>
          <w:szCs w:val="36"/>
          <w:highlight w:val="none"/>
          <w:lang w:val="en-US" w:eastAsia="zh-CN"/>
        </w:rPr>
        <w:t>十</w:t>
      </w:r>
      <w:r>
        <w:rPr>
          <w:rFonts w:hint="eastAsia" w:ascii="宋体" w:hAnsi="宋体" w:cs="宋体"/>
          <w:b/>
          <w:color w:val="000000"/>
          <w:sz w:val="36"/>
          <w:szCs w:val="36"/>
          <w:highlight w:val="none"/>
        </w:rPr>
        <w:t>月</w:t>
      </w:r>
    </w:p>
    <w:p w14:paraId="72556CC3">
      <w:pPr>
        <w:pStyle w:val="3"/>
        <w:keepLines w:val="0"/>
        <w:spacing w:before="0" w:after="0" w:line="360" w:lineRule="auto"/>
        <w:ind w:right="-441" w:rightChars="-210"/>
        <w:jc w:val="center"/>
        <w:rPr>
          <w:rFonts w:ascii="宋体" w:hAnsi="宋体" w:cs="Tahoma"/>
          <w:spacing w:val="20"/>
          <w:sz w:val="32"/>
          <w:szCs w:val="32"/>
          <w:highlight w:val="none"/>
        </w:rPr>
        <w:sectPr>
          <w:headerReference r:id="rId5" w:type="first"/>
          <w:headerReference r:id="rId3" w:type="default"/>
          <w:footerReference r:id="rId6" w:type="default"/>
          <w:headerReference r:id="rId4" w:type="even"/>
          <w:footerReference r:id="rId7" w:type="even"/>
          <w:pgSz w:w="11906" w:h="16838"/>
          <w:pgMar w:top="1402" w:right="1418" w:bottom="1440" w:left="1418" w:header="851" w:footer="851" w:gutter="0"/>
          <w:pgNumType w:start="0"/>
          <w:cols w:space="720" w:num="1"/>
          <w:titlePg/>
          <w:docGrid w:type="lines" w:linePitch="312" w:charSpace="0"/>
        </w:sectPr>
      </w:pPr>
    </w:p>
    <w:p w14:paraId="35B6ADF9">
      <w:pPr>
        <w:pStyle w:val="3"/>
        <w:keepLines w:val="0"/>
        <w:spacing w:before="0" w:after="0" w:line="360" w:lineRule="auto"/>
        <w:ind w:right="-441" w:rightChars="-210"/>
        <w:jc w:val="center"/>
        <w:rPr>
          <w:rFonts w:ascii="宋体" w:hAnsi="宋体" w:cs="Tahoma"/>
          <w:spacing w:val="20"/>
          <w:sz w:val="32"/>
          <w:szCs w:val="32"/>
          <w:highlight w:val="none"/>
        </w:rPr>
      </w:pPr>
      <w:bookmarkStart w:id="0" w:name="_Toc6575"/>
      <w:bookmarkStart w:id="1" w:name="_Toc16261"/>
      <w:r>
        <w:rPr>
          <w:rFonts w:hint="eastAsia" w:ascii="宋体" w:hAnsi="宋体" w:cs="Tahoma"/>
          <w:spacing w:val="20"/>
          <w:sz w:val="32"/>
          <w:szCs w:val="32"/>
          <w:highlight w:val="none"/>
        </w:rPr>
        <w:t>温馨提示：投标人投标特别注意事项</w:t>
      </w:r>
      <w:bookmarkEnd w:id="0"/>
      <w:bookmarkEnd w:id="1"/>
    </w:p>
    <w:p w14:paraId="3361DF0A">
      <w:pPr>
        <w:spacing w:line="360" w:lineRule="auto"/>
        <w:ind w:firstLine="420" w:firstLineChars="200"/>
        <w:rPr>
          <w:rFonts w:ascii="宋体" w:hAnsi="宋体"/>
          <w:highlight w:val="none"/>
        </w:rPr>
      </w:pPr>
      <w:r>
        <w:rPr>
          <w:rFonts w:hint="eastAsia" w:ascii="宋体" w:hAnsi="宋体"/>
          <w:szCs w:val="21"/>
          <w:highlight w:val="none"/>
        </w:rPr>
        <w:t>一、投标/报价供应商请注意区分投标保证金及中标/成交服务费收款帐号的区别，务必将保证金按采购文件的要求存入指定的保证金专用账户，中标/成交服务费存入中标/成交通知书中指定的服务费账户。切勿将款项转错账户，以免影响保证金退还的速度。</w:t>
      </w:r>
    </w:p>
    <w:p w14:paraId="250D3001">
      <w:pPr>
        <w:spacing w:line="360" w:lineRule="auto"/>
        <w:ind w:firstLine="420" w:firstLineChars="200"/>
        <w:rPr>
          <w:rFonts w:ascii="宋体" w:hAnsi="宋体"/>
          <w:highlight w:val="none"/>
        </w:rPr>
      </w:pPr>
      <w:r>
        <w:rPr>
          <w:rFonts w:hint="eastAsia" w:ascii="宋体" w:hAnsi="宋体"/>
          <w:highlight w:val="none"/>
        </w:rPr>
        <w:t>二、投标截止时间前半小时将开始接收投标文件，投标截止时间一到，将不接收任何投标文件，因此，请适当提前到达。</w:t>
      </w:r>
    </w:p>
    <w:p w14:paraId="7046CF81">
      <w:pPr>
        <w:spacing w:line="360" w:lineRule="auto"/>
        <w:ind w:firstLine="420" w:firstLineChars="200"/>
        <w:rPr>
          <w:rFonts w:ascii="宋体" w:hAnsi="宋体"/>
          <w:highlight w:val="none"/>
        </w:rPr>
      </w:pPr>
      <w:r>
        <w:rPr>
          <w:rFonts w:hint="eastAsia" w:ascii="宋体" w:hAnsi="宋体"/>
          <w:highlight w:val="none"/>
        </w:rPr>
        <w:t>三、采购代理机构有可能在相近时间有多个项目进行开标，请投标人代表到达开标会场后按指示前往相应的会议室，或主动咨询工作人员，以免错误递交投标文件。</w:t>
      </w:r>
    </w:p>
    <w:p w14:paraId="15DD0C88">
      <w:pPr>
        <w:spacing w:line="360" w:lineRule="auto"/>
        <w:ind w:firstLine="420" w:firstLineChars="200"/>
        <w:rPr>
          <w:rFonts w:ascii="宋体" w:hAnsi="宋体"/>
          <w:highlight w:val="none"/>
        </w:rPr>
      </w:pPr>
      <w:r>
        <w:rPr>
          <w:rFonts w:hint="eastAsia" w:ascii="宋体" w:hAnsi="宋体"/>
          <w:highlight w:val="none"/>
        </w:rPr>
        <w:t>四、投标人授权代表参加开标会的，应凭法定代表人证明及授权书、身份证原件进入开标会场并递交投标文件。</w:t>
      </w:r>
    </w:p>
    <w:p w14:paraId="0704627F">
      <w:pPr>
        <w:spacing w:line="360" w:lineRule="auto"/>
        <w:ind w:firstLine="420" w:firstLineChars="200"/>
        <w:rPr>
          <w:rFonts w:ascii="宋体" w:hAnsi="宋体"/>
          <w:highlight w:val="none"/>
        </w:rPr>
      </w:pPr>
      <w:r>
        <w:rPr>
          <w:rFonts w:hint="eastAsia" w:ascii="宋体" w:hAnsi="宋体"/>
          <w:highlight w:val="none"/>
        </w:rPr>
        <w:t>五、请仔细检查投标文件格式中应盖章、签署之处是否有按要求盖公章、签名、签署日期。投标文件需签名之处必须由当事人亲笔签署，法定代表人证明及授权书需法定代表人签字处，应由法定代表人亲笔签署。</w:t>
      </w:r>
    </w:p>
    <w:p w14:paraId="060B9AC1">
      <w:pPr>
        <w:spacing w:line="360" w:lineRule="auto"/>
        <w:ind w:firstLine="420" w:firstLineChars="200"/>
        <w:rPr>
          <w:rFonts w:ascii="宋体" w:hAnsi="宋体"/>
          <w:highlight w:val="none"/>
        </w:rPr>
      </w:pPr>
      <w:r>
        <w:rPr>
          <w:rFonts w:hint="eastAsia" w:ascii="宋体" w:hAnsi="宋体"/>
          <w:highlight w:val="none"/>
        </w:rPr>
        <w:t>六、</w:t>
      </w:r>
      <w:r>
        <w:rPr>
          <w:rFonts w:ascii="宋体" w:hAnsi="宋体"/>
          <w:highlight w:val="none"/>
        </w:rPr>
        <w:t>采购代理机构不对</w:t>
      </w:r>
      <w:r>
        <w:rPr>
          <w:rFonts w:hint="eastAsia" w:ascii="宋体" w:hAnsi="宋体"/>
          <w:highlight w:val="none"/>
        </w:rPr>
        <w:t>投标人</w:t>
      </w:r>
      <w:r>
        <w:rPr>
          <w:rFonts w:ascii="宋体" w:hAnsi="宋体"/>
          <w:highlight w:val="none"/>
        </w:rPr>
        <w:t>购买采购文件时提交的相关资料的</w:t>
      </w:r>
      <w:r>
        <w:rPr>
          <w:rFonts w:hint="eastAsia" w:ascii="宋体" w:hAnsi="宋体"/>
          <w:highlight w:val="none"/>
        </w:rPr>
        <w:t>真实性负责，</w:t>
      </w:r>
      <w:r>
        <w:rPr>
          <w:rFonts w:ascii="宋体" w:hAnsi="宋体"/>
          <w:highlight w:val="none"/>
        </w:rPr>
        <w:t>如</w:t>
      </w:r>
      <w:r>
        <w:rPr>
          <w:rFonts w:hint="eastAsia" w:ascii="宋体" w:hAnsi="宋体"/>
          <w:highlight w:val="none"/>
        </w:rPr>
        <w:t>投标人</w:t>
      </w:r>
      <w:r>
        <w:rPr>
          <w:rFonts w:ascii="宋体" w:hAnsi="宋体"/>
          <w:highlight w:val="none"/>
        </w:rPr>
        <w:t>发现相关资料被盗用或复制，</w:t>
      </w:r>
      <w:r>
        <w:rPr>
          <w:rFonts w:hint="eastAsia" w:ascii="宋体" w:hAnsi="宋体"/>
          <w:highlight w:val="none"/>
        </w:rPr>
        <w:t>或出现同一投标人由两名或以上授权代表报名的，应</w:t>
      </w:r>
      <w:r>
        <w:rPr>
          <w:rFonts w:ascii="宋体" w:hAnsi="宋体"/>
          <w:highlight w:val="none"/>
        </w:rPr>
        <w:t>遵循法律途径解决，追究侵权者责任。对一家</w:t>
      </w:r>
      <w:r>
        <w:rPr>
          <w:rFonts w:hint="eastAsia" w:ascii="宋体" w:hAnsi="宋体"/>
          <w:highlight w:val="none"/>
        </w:rPr>
        <w:t>投标人</w:t>
      </w:r>
      <w:r>
        <w:rPr>
          <w:rFonts w:ascii="宋体" w:hAnsi="宋体"/>
          <w:highlight w:val="none"/>
        </w:rPr>
        <w:t>递交两份投标文件的，评委会将按采购文件中有关无效投标的规定处理。</w:t>
      </w:r>
    </w:p>
    <w:p w14:paraId="65ABEE9D">
      <w:pPr>
        <w:spacing w:line="360" w:lineRule="auto"/>
        <w:ind w:firstLine="420" w:firstLineChars="200"/>
        <w:rPr>
          <w:rFonts w:ascii="宋体" w:hAnsi="宋体"/>
          <w:highlight w:val="none"/>
        </w:rPr>
      </w:pPr>
      <w:r>
        <w:rPr>
          <w:rFonts w:hint="eastAsia" w:ascii="宋体" w:hAnsi="宋体"/>
          <w:highlight w:val="none"/>
        </w:rPr>
        <w:t>七、</w:t>
      </w:r>
      <w:r>
        <w:rPr>
          <w:rFonts w:hint="eastAsia" w:ascii="宋体" w:hAnsi="宋体"/>
          <w:szCs w:val="21"/>
          <w:highlight w:val="none"/>
        </w:rPr>
        <w:t>为了提高效率，节约社会交易成本与时间，希望购买了采购文件而决定不参加本次投标/报价的投标人，在投标/报价文件递交截止时间的3日前，按《投标/报价邀请》中的联系方式，以书面形式告知我公司。对您的支持与配合，谨此致谢。</w:t>
      </w:r>
    </w:p>
    <w:p w14:paraId="19CE9648">
      <w:pPr>
        <w:spacing w:line="360" w:lineRule="auto"/>
        <w:ind w:firstLine="420" w:firstLineChars="200"/>
        <w:rPr>
          <w:rFonts w:ascii="宋体" w:hAnsi="宋体"/>
          <w:highlight w:val="none"/>
        </w:rPr>
      </w:pPr>
      <w:r>
        <w:rPr>
          <w:rFonts w:hint="eastAsia" w:ascii="宋体" w:hAnsi="宋体"/>
          <w:highlight w:val="none"/>
        </w:rPr>
        <w:t>八、由于交通、天气等状况、停车位已满或电梯拥挤等原因，建议投标人代表提前15-30分钟到达开标会场，我公司所处位置有多路公共交通线路到达，具体如下：</w:t>
      </w:r>
    </w:p>
    <w:p w14:paraId="74BD5E02">
      <w:pPr>
        <w:spacing w:line="360" w:lineRule="auto"/>
        <w:ind w:firstLine="420" w:firstLineChars="200"/>
        <w:rPr>
          <w:rFonts w:ascii="宋体" w:hAnsi="宋体"/>
          <w:szCs w:val="21"/>
          <w:highlight w:val="none"/>
        </w:rPr>
      </w:pPr>
      <w:r>
        <w:rPr>
          <w:rFonts w:hint="eastAsia" w:ascii="宋体" w:hAnsi="宋体"/>
          <w:szCs w:val="21"/>
          <w:highlight w:val="none"/>
        </w:rPr>
        <w:t>汕头市龙湖区衡山路锦龙商业大厦10楼1001-1002单位（10楼出电梯后左转再左转即可到达）。主要路经的公交车有2路、29路、45路和53路等，在明珠广场站下车即可到达本公司。</w:t>
      </w:r>
    </w:p>
    <w:p w14:paraId="0E9A0340">
      <w:pPr>
        <w:spacing w:line="360" w:lineRule="auto"/>
        <w:ind w:firstLine="420" w:firstLineChars="200"/>
        <w:rPr>
          <w:rFonts w:ascii="宋体" w:hAnsi="宋体"/>
          <w:szCs w:val="21"/>
          <w:highlight w:val="none"/>
        </w:rPr>
      </w:pPr>
    </w:p>
    <w:p w14:paraId="4BA6E3EA">
      <w:pPr>
        <w:rPr>
          <w:rFonts w:ascii="宋体" w:hAnsi="宋体"/>
          <w:b/>
          <w:sz w:val="36"/>
          <w:highlight w:val="none"/>
        </w:rPr>
      </w:pPr>
      <w:r>
        <w:rPr>
          <w:rFonts w:hint="eastAsia" w:ascii="宋体" w:hAnsi="宋体"/>
          <w:highlight w:val="none"/>
        </w:rPr>
        <w:t>（本提示内容非采购文件的组成部分，仅为善意提醒。如有不一致，以采购文件为准。）</w:t>
      </w:r>
    </w:p>
    <w:p w14:paraId="01E19057">
      <w:pPr>
        <w:pStyle w:val="13"/>
        <w:spacing w:line="300" w:lineRule="auto"/>
        <w:ind w:left="0" w:leftChars="0"/>
        <w:rPr>
          <w:rFonts w:ascii="宋体" w:hAnsi="宋体"/>
          <w:b/>
          <w:bCs/>
          <w:color w:val="000000"/>
          <w:sz w:val="44"/>
          <w:highlight w:val="none"/>
        </w:rPr>
        <w:sectPr>
          <w:headerReference r:id="rId8" w:type="first"/>
          <w:footerReference r:id="rId10" w:type="first"/>
          <w:footerReference r:id="rId9" w:type="default"/>
          <w:pgSz w:w="11906" w:h="16838"/>
          <w:pgMar w:top="1022" w:right="1418" w:bottom="1440" w:left="1418" w:header="851" w:footer="851" w:gutter="0"/>
          <w:pgNumType w:start="1"/>
          <w:cols w:space="720" w:num="1"/>
          <w:titlePg/>
          <w:docGrid w:type="lines" w:linePitch="312" w:charSpace="0"/>
        </w:sectPr>
      </w:pPr>
    </w:p>
    <w:p w14:paraId="1055DE48">
      <w:pPr>
        <w:pStyle w:val="13"/>
        <w:spacing w:line="300" w:lineRule="auto"/>
        <w:ind w:left="0" w:leftChars="0"/>
        <w:jc w:val="center"/>
        <w:rPr>
          <w:rFonts w:ascii="宋体" w:hAnsi="宋体"/>
          <w:b/>
          <w:bCs/>
          <w:color w:val="000000"/>
          <w:sz w:val="44"/>
          <w:highlight w:val="none"/>
        </w:rPr>
      </w:pPr>
      <w:r>
        <w:rPr>
          <w:rFonts w:hint="eastAsia" w:ascii="宋体" w:hAnsi="宋体"/>
          <w:b/>
          <w:bCs/>
          <w:color w:val="000000"/>
          <w:sz w:val="44"/>
          <w:highlight w:val="none"/>
        </w:rPr>
        <w:t>目</w:t>
      </w:r>
      <w:r>
        <w:rPr>
          <w:rFonts w:ascii="宋体" w:hAnsi="宋体"/>
          <w:b/>
          <w:bCs/>
          <w:color w:val="000000"/>
          <w:sz w:val="44"/>
          <w:highlight w:val="none"/>
        </w:rPr>
        <w:t xml:space="preserve">     </w:t>
      </w:r>
      <w:r>
        <w:rPr>
          <w:rFonts w:hint="eastAsia" w:ascii="宋体" w:hAnsi="宋体"/>
          <w:b/>
          <w:bCs/>
          <w:color w:val="000000"/>
          <w:sz w:val="44"/>
          <w:highlight w:val="none"/>
        </w:rPr>
        <w:t>录</w:t>
      </w:r>
    </w:p>
    <w:p w14:paraId="5AB29981">
      <w:pPr>
        <w:pStyle w:val="17"/>
        <w:tabs>
          <w:tab w:val="right" w:leader="dot" w:pos="9638"/>
        </w:tabs>
        <w:rPr>
          <w:rFonts w:ascii="黑体" w:hAnsi="黑体" w:eastAsia="黑体" w:cs="黑体"/>
          <w:sz w:val="28"/>
          <w:szCs w:val="28"/>
          <w:highlight w:val="none"/>
        </w:rPr>
      </w:pPr>
      <w:r>
        <w:rPr>
          <w:rFonts w:hint="eastAsia" w:ascii="黑体" w:hAnsi="黑体" w:eastAsia="黑体" w:cs="黑体"/>
          <w:bCs/>
          <w:caps/>
          <w:sz w:val="28"/>
          <w:szCs w:val="28"/>
          <w:highlight w:val="none"/>
        </w:rPr>
        <w:fldChar w:fldCharType="begin"/>
      </w:r>
      <w:r>
        <w:rPr>
          <w:rStyle w:val="30"/>
          <w:rFonts w:hint="eastAsia" w:ascii="黑体" w:hAnsi="黑体" w:eastAsia="黑体" w:cs="黑体"/>
          <w:bCs/>
          <w:caps/>
          <w:sz w:val="28"/>
          <w:szCs w:val="28"/>
          <w:highlight w:val="none"/>
        </w:rPr>
        <w:instrText xml:space="preserve"> TOC \o "1-1" \h \z \u </w:instrText>
      </w:r>
      <w:r>
        <w:rPr>
          <w:rFonts w:hint="eastAsia" w:ascii="黑体" w:hAnsi="黑体" w:eastAsia="黑体" w:cs="黑体"/>
          <w:bCs/>
          <w:caps/>
          <w:sz w:val="28"/>
          <w:szCs w:val="28"/>
          <w:highlight w:val="none"/>
        </w:rPr>
        <w:fldChar w:fldCharType="separate"/>
      </w:r>
      <w:r>
        <w:rPr>
          <w:highlight w:val="none"/>
        </w:rPr>
        <w:fldChar w:fldCharType="begin"/>
      </w:r>
      <w:r>
        <w:rPr>
          <w:highlight w:val="none"/>
        </w:rPr>
        <w:instrText xml:space="preserve"> HYPERLINK \l "_Toc6575" </w:instrText>
      </w:r>
      <w:r>
        <w:rPr>
          <w:highlight w:val="none"/>
        </w:rPr>
        <w:fldChar w:fldCharType="separate"/>
      </w:r>
      <w:r>
        <w:rPr>
          <w:rFonts w:hint="eastAsia" w:ascii="黑体" w:hAnsi="黑体" w:eastAsia="黑体" w:cs="黑体"/>
          <w:spacing w:val="20"/>
          <w:sz w:val="28"/>
          <w:szCs w:val="28"/>
          <w:highlight w:val="none"/>
        </w:rPr>
        <w:t>温馨提示：投标人投标特别注意事项</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_Toc6575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1</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4E82C2A4">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"_Toc30218" </w:instrText>
      </w:r>
      <w:r>
        <w:rPr>
          <w:highlight w:val="none"/>
        </w:rPr>
        <w:fldChar w:fldCharType="separate"/>
      </w:r>
      <w:r>
        <w:rPr>
          <w:rFonts w:hint="eastAsia" w:ascii="黑体" w:hAnsi="黑体" w:eastAsia="黑体" w:cs="黑体"/>
          <w:spacing w:val="20"/>
          <w:sz w:val="28"/>
          <w:szCs w:val="28"/>
          <w:highlight w:val="none"/>
        </w:rPr>
        <w:t>投标邀请</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_Toc30218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3</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50A10553">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"_Toc8582" </w:instrText>
      </w:r>
      <w:r>
        <w:rPr>
          <w:highlight w:val="none"/>
        </w:rPr>
        <w:fldChar w:fldCharType="separate"/>
      </w:r>
      <w:r>
        <w:rPr>
          <w:rFonts w:hint="eastAsia" w:ascii="黑体" w:hAnsi="黑体" w:eastAsia="黑体" w:cs="黑体"/>
          <w:sz w:val="28"/>
          <w:szCs w:val="28"/>
          <w:highlight w:val="none"/>
        </w:rPr>
        <w:t>第一章  投标人须知</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_Toc8582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7</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2FE69921">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"_Toc4123" </w:instrText>
      </w:r>
      <w:r>
        <w:rPr>
          <w:highlight w:val="none"/>
        </w:rPr>
        <w:fldChar w:fldCharType="separate"/>
      </w:r>
      <w:r>
        <w:rPr>
          <w:rFonts w:hint="eastAsia" w:ascii="黑体" w:hAnsi="黑体" w:eastAsia="黑体" w:cs="黑体"/>
          <w:sz w:val="28"/>
          <w:szCs w:val="28"/>
          <w:highlight w:val="none"/>
        </w:rPr>
        <w:t>第二章  采购人需求</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_Toc4123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17</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650D5E7D">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"_Toc13439" </w:instrText>
      </w:r>
      <w:r>
        <w:rPr>
          <w:highlight w:val="none"/>
        </w:rPr>
        <w:fldChar w:fldCharType="separate"/>
      </w:r>
      <w:r>
        <w:rPr>
          <w:rFonts w:hint="eastAsia" w:ascii="黑体" w:hAnsi="黑体" w:eastAsia="黑体" w:cs="黑体"/>
          <w:sz w:val="28"/>
          <w:szCs w:val="28"/>
          <w:highlight w:val="none"/>
        </w:rPr>
        <w:t>第三章  工程量清单</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_Toc13439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20</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58C26F22">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"_Toc19877" </w:instrText>
      </w:r>
      <w:r>
        <w:rPr>
          <w:highlight w:val="none"/>
        </w:rPr>
        <w:fldChar w:fldCharType="separate"/>
      </w:r>
      <w:r>
        <w:rPr>
          <w:rFonts w:hint="eastAsia" w:ascii="黑体" w:hAnsi="黑体" w:eastAsia="黑体" w:cs="黑体"/>
          <w:sz w:val="28"/>
          <w:szCs w:val="28"/>
          <w:highlight w:val="none"/>
        </w:rPr>
        <w:t>第四章  合同条款及格式</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_Toc19877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21</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046FB63A">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"_Toc12448" </w:instrText>
      </w:r>
      <w:r>
        <w:rPr>
          <w:highlight w:val="none"/>
        </w:rPr>
        <w:fldChar w:fldCharType="separate"/>
      </w:r>
      <w:r>
        <w:rPr>
          <w:rFonts w:hint="eastAsia" w:ascii="黑体" w:hAnsi="黑体" w:eastAsia="黑体" w:cs="黑体"/>
          <w:sz w:val="28"/>
          <w:szCs w:val="28"/>
          <w:highlight w:val="none"/>
        </w:rPr>
        <w:t>第五章  技术标准和要求</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_Toc12448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54</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6268F15F">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"_Toc14043" </w:instrText>
      </w:r>
      <w:r>
        <w:rPr>
          <w:highlight w:val="none"/>
        </w:rPr>
        <w:fldChar w:fldCharType="separate"/>
      </w:r>
      <w:r>
        <w:rPr>
          <w:rFonts w:hint="eastAsia" w:ascii="黑体" w:hAnsi="黑体" w:eastAsia="黑体" w:cs="黑体"/>
          <w:sz w:val="28"/>
          <w:szCs w:val="28"/>
          <w:highlight w:val="none"/>
        </w:rPr>
        <w:t>第六章  开标、评标和定标</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_Toc14043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60</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0C6038A9">
      <w:pPr>
        <w:pStyle w:val="17"/>
        <w:tabs>
          <w:tab w:val="right" w:leader="dot" w:pos="9638"/>
        </w:tabs>
        <w:rPr>
          <w:rFonts w:ascii="黑体" w:hAnsi="黑体" w:eastAsia="黑体" w:cs="黑体"/>
          <w:sz w:val="28"/>
          <w:szCs w:val="28"/>
          <w:highlight w:val="none"/>
        </w:rPr>
      </w:pPr>
      <w:r>
        <w:rPr>
          <w:highlight w:val="none"/>
        </w:rPr>
        <w:fldChar w:fldCharType="begin"/>
      </w:r>
      <w:r>
        <w:rPr>
          <w:highlight w:val="none"/>
        </w:rPr>
        <w:instrText xml:space="preserve"> HYPERLINK \l "_Toc10069" </w:instrText>
      </w:r>
      <w:r>
        <w:rPr>
          <w:highlight w:val="none"/>
        </w:rPr>
        <w:fldChar w:fldCharType="separate"/>
      </w:r>
      <w:r>
        <w:rPr>
          <w:rFonts w:hint="eastAsia" w:ascii="黑体" w:hAnsi="黑体" w:eastAsia="黑体" w:cs="黑体"/>
          <w:bCs/>
          <w:sz w:val="28"/>
          <w:szCs w:val="28"/>
          <w:highlight w:val="none"/>
        </w:rPr>
        <w:t xml:space="preserve">第七章  </w:t>
      </w:r>
      <w:r>
        <w:rPr>
          <w:rFonts w:hint="eastAsia" w:ascii="黑体" w:hAnsi="黑体" w:eastAsia="黑体" w:cs="黑体"/>
          <w:sz w:val="28"/>
          <w:szCs w:val="28"/>
          <w:highlight w:val="none"/>
        </w:rPr>
        <w:t>投标文件格式</w:t>
      </w:r>
      <w:r>
        <w:rPr>
          <w:rFonts w:hint="eastAsia" w:ascii="黑体" w:hAnsi="黑体" w:eastAsia="黑体" w:cs="黑体"/>
          <w:sz w:val="28"/>
          <w:szCs w:val="28"/>
          <w:highlight w:val="none"/>
        </w:rPr>
        <w:tab/>
      </w:r>
      <w:r>
        <w:rPr>
          <w:rFonts w:hint="eastAsia" w:ascii="黑体" w:hAnsi="黑体" w:eastAsia="黑体" w:cs="黑体"/>
          <w:sz w:val="28"/>
          <w:szCs w:val="28"/>
          <w:highlight w:val="none"/>
        </w:rPr>
        <w:fldChar w:fldCharType="begin"/>
      </w:r>
      <w:r>
        <w:rPr>
          <w:rFonts w:hint="eastAsia" w:ascii="黑体" w:hAnsi="黑体" w:eastAsia="黑体" w:cs="黑体"/>
          <w:sz w:val="28"/>
          <w:szCs w:val="28"/>
          <w:highlight w:val="none"/>
        </w:rPr>
        <w:instrText xml:space="preserve"> PAGEREF _Toc10069 \h </w:instrText>
      </w:r>
      <w:r>
        <w:rPr>
          <w:rFonts w:hint="eastAsia" w:ascii="黑体" w:hAnsi="黑体" w:eastAsia="黑体" w:cs="黑体"/>
          <w:sz w:val="28"/>
          <w:szCs w:val="28"/>
          <w:highlight w:val="none"/>
        </w:rPr>
        <w:fldChar w:fldCharType="separate"/>
      </w:r>
      <w:r>
        <w:rPr>
          <w:rFonts w:hint="eastAsia" w:ascii="黑体" w:hAnsi="黑体" w:eastAsia="黑体" w:cs="黑体"/>
          <w:sz w:val="28"/>
          <w:szCs w:val="28"/>
          <w:highlight w:val="none"/>
        </w:rPr>
        <w:t>70</w:t>
      </w:r>
      <w:r>
        <w:rPr>
          <w:rFonts w:hint="eastAsia" w:ascii="黑体" w:hAnsi="黑体" w:eastAsia="黑体" w:cs="黑体"/>
          <w:sz w:val="28"/>
          <w:szCs w:val="28"/>
          <w:highlight w:val="none"/>
        </w:rPr>
        <w:fldChar w:fldCharType="end"/>
      </w:r>
      <w:r>
        <w:rPr>
          <w:rFonts w:hint="eastAsia" w:ascii="黑体" w:hAnsi="黑体" w:eastAsia="黑体" w:cs="黑体"/>
          <w:sz w:val="28"/>
          <w:szCs w:val="28"/>
          <w:highlight w:val="none"/>
        </w:rPr>
        <w:fldChar w:fldCharType="end"/>
      </w:r>
    </w:p>
    <w:p w14:paraId="74CF61A4">
      <w:pPr>
        <w:pStyle w:val="17"/>
        <w:tabs>
          <w:tab w:val="right" w:leader="dot" w:pos="9638"/>
        </w:tabs>
        <w:rPr>
          <w:rFonts w:ascii="黑体" w:hAnsi="黑体" w:eastAsia="黑体" w:cs="黑体"/>
          <w:sz w:val="28"/>
          <w:szCs w:val="28"/>
          <w:highlight w:val="none"/>
        </w:rPr>
      </w:pPr>
    </w:p>
    <w:p w14:paraId="1D19956E">
      <w:pPr>
        <w:pStyle w:val="17"/>
        <w:tabs>
          <w:tab w:val="right" w:leader="dot" w:pos="9638"/>
        </w:tabs>
        <w:rPr>
          <w:rFonts w:ascii="宋体" w:hAnsi="宋体" w:cs="宋体"/>
          <w:b/>
          <w:bCs/>
          <w:sz w:val="28"/>
          <w:szCs w:val="28"/>
          <w:highlight w:val="none"/>
        </w:rPr>
      </w:pPr>
      <w:r>
        <w:rPr>
          <w:rFonts w:hint="eastAsia" w:ascii="黑体" w:hAnsi="黑体" w:eastAsia="黑体" w:cs="黑体"/>
          <w:bCs/>
          <w:caps/>
          <w:sz w:val="28"/>
          <w:szCs w:val="28"/>
          <w:highlight w:val="none"/>
        </w:rPr>
        <w:fldChar w:fldCharType="end"/>
      </w:r>
    </w:p>
    <w:p w14:paraId="5177E6B8">
      <w:pPr>
        <w:pStyle w:val="17"/>
        <w:tabs>
          <w:tab w:val="right" w:leader="dot" w:pos="9240"/>
        </w:tabs>
        <w:spacing w:line="480" w:lineRule="auto"/>
        <w:jc w:val="left"/>
        <w:rPr>
          <w:rFonts w:ascii="宋体" w:hAnsi="宋体"/>
          <w:color w:val="000000"/>
          <w:sz w:val="32"/>
          <w:highlight w:val="none"/>
        </w:rPr>
      </w:pPr>
    </w:p>
    <w:p w14:paraId="362A560B">
      <w:pPr>
        <w:pStyle w:val="3"/>
        <w:keepLines w:val="0"/>
        <w:spacing w:before="0" w:after="0" w:line="360" w:lineRule="auto"/>
        <w:ind w:right="-441" w:rightChars="-210"/>
        <w:jc w:val="center"/>
        <w:rPr>
          <w:rFonts w:ascii="宋体" w:hAnsi="宋体" w:cs="Tahoma"/>
          <w:color w:val="000000"/>
          <w:spacing w:val="20"/>
          <w:sz w:val="32"/>
          <w:szCs w:val="32"/>
          <w:highlight w:val="none"/>
        </w:rPr>
      </w:pPr>
      <w:r>
        <w:rPr>
          <w:sz w:val="32"/>
          <w:highlight w:val="none"/>
        </w:rPr>
        <w:br w:type="page"/>
      </w:r>
      <w:bookmarkStart w:id="2" w:name="_Toc30218"/>
      <w:bookmarkStart w:id="3" w:name="_Toc338335288"/>
      <w:bookmarkStart w:id="4" w:name="_Toc338335353"/>
      <w:bookmarkStart w:id="5" w:name="_Toc338335184"/>
      <w:bookmarkStart w:id="6" w:name="_Toc338335509"/>
      <w:r>
        <w:rPr>
          <w:rFonts w:hint="eastAsia" w:ascii="宋体" w:hAnsi="宋体" w:cs="Tahoma"/>
          <w:color w:val="000000"/>
          <w:spacing w:val="20"/>
          <w:sz w:val="32"/>
          <w:szCs w:val="32"/>
          <w:highlight w:val="none"/>
        </w:rPr>
        <w:t>投标邀请</w:t>
      </w:r>
      <w:bookmarkEnd w:id="2"/>
    </w:p>
    <w:p w14:paraId="57C0089B">
      <w:pPr>
        <w:pStyle w:val="11"/>
        <w:snapToGrid w:val="0"/>
        <w:spacing w:line="360" w:lineRule="auto"/>
        <w:ind w:left="0" w:leftChars="0" w:firstLine="420" w:firstLineChars="200"/>
        <w:rPr>
          <w:rFonts w:ascii="宋体" w:eastAsia="宋体" w:cs="Tahoma"/>
          <w:color w:val="000000"/>
          <w:sz w:val="21"/>
          <w:szCs w:val="21"/>
          <w:highlight w:val="none"/>
        </w:rPr>
      </w:pPr>
      <w:r>
        <w:rPr>
          <w:rFonts w:hint="eastAsia" w:ascii="宋体" w:eastAsia="宋体" w:cs="Tahoma"/>
          <w:color w:val="000000"/>
          <w:sz w:val="21"/>
          <w:szCs w:val="21"/>
          <w:highlight w:val="none"/>
        </w:rPr>
        <w:t>广东群升招标代理有限公司（以下简称“采购代理机构”）受广东潮阳农村商业银行股份有限公司（以下简称“采购人”）的委托，就以下采购项目进行国内公开招标，欢迎合格的投标人参加投标。有关事项公告如下：</w:t>
      </w:r>
    </w:p>
    <w:p w14:paraId="73333569">
      <w:pPr>
        <w:pStyle w:val="11"/>
        <w:snapToGrid w:val="0"/>
        <w:spacing w:line="360" w:lineRule="auto"/>
        <w:ind w:left="0" w:leftChars="0"/>
        <w:rPr>
          <w:rFonts w:cs="Tahoma"/>
          <w:color w:val="000000"/>
          <w:sz w:val="21"/>
          <w:szCs w:val="21"/>
          <w:highlight w:val="none"/>
        </w:rPr>
      </w:pPr>
      <w:r>
        <w:rPr>
          <w:rFonts w:hint="eastAsia" w:ascii="宋体" w:eastAsia="宋体" w:cs="Tahoma"/>
          <w:color w:val="000000"/>
          <w:sz w:val="21"/>
          <w:szCs w:val="21"/>
          <w:highlight w:val="none"/>
        </w:rPr>
        <w:t>一、采购项目简要</w:t>
      </w:r>
    </w:p>
    <w:p w14:paraId="34D202E5">
      <w:pPr>
        <w:spacing w:line="360" w:lineRule="auto"/>
        <w:ind w:firstLine="420" w:firstLineChars="200"/>
        <w:rPr>
          <w:rFonts w:hint="eastAsia" w:ascii="宋体" w:hAnsi="宋体" w:eastAsia="宋体"/>
          <w:color w:val="000000"/>
          <w:highlight w:val="none"/>
          <w:lang w:eastAsia="zh-CN"/>
        </w:rPr>
      </w:pPr>
      <w:r>
        <w:rPr>
          <w:rFonts w:hint="eastAsia" w:ascii="宋体" w:hAnsi="宋体" w:cs="Tahoma"/>
          <w:color w:val="000000"/>
          <w:szCs w:val="21"/>
          <w:highlight w:val="none"/>
        </w:rPr>
        <w:t>1、项目编号：</w:t>
      </w:r>
      <w:r>
        <w:rPr>
          <w:rFonts w:hint="eastAsia" w:ascii="宋体" w:hAnsi="宋体"/>
          <w:color w:val="000000"/>
          <w:highlight w:val="none"/>
          <w:lang w:eastAsia="zh-CN"/>
        </w:rPr>
        <w:t xml:space="preserve"> GDQSST2024GG10001S</w:t>
      </w:r>
    </w:p>
    <w:p w14:paraId="44A3BD1E">
      <w:pPr>
        <w:spacing w:line="360" w:lineRule="auto"/>
        <w:ind w:firstLine="420" w:firstLineChars="200"/>
        <w:rPr>
          <w:rFonts w:hint="eastAsia" w:ascii="宋体" w:hAnsi="宋体" w:cs="Tahoma"/>
          <w:color w:val="000000"/>
          <w:szCs w:val="21"/>
          <w:highlight w:val="none"/>
          <w:lang w:eastAsia="zh-CN"/>
        </w:rPr>
      </w:pPr>
      <w:r>
        <w:rPr>
          <w:rFonts w:hint="eastAsia" w:ascii="宋体" w:hAnsi="宋体" w:cs="Tahoma"/>
          <w:color w:val="000000"/>
          <w:szCs w:val="21"/>
          <w:highlight w:val="none"/>
        </w:rPr>
        <w:t>2、项目名称：</w:t>
      </w:r>
      <w:r>
        <w:rPr>
          <w:rFonts w:hint="eastAsia" w:ascii="宋体" w:hAnsi="宋体" w:cs="Tahoma"/>
          <w:color w:val="000000"/>
          <w:szCs w:val="21"/>
          <w:highlight w:val="none"/>
          <w:lang w:eastAsia="zh-CN"/>
        </w:rPr>
        <w:t>潮阳农村商业银行铜盂支行营业厅、办公场所装修改造项目</w:t>
      </w:r>
    </w:p>
    <w:p w14:paraId="6C70593D">
      <w:pPr>
        <w:spacing w:line="360" w:lineRule="auto"/>
        <w:ind w:firstLine="420" w:firstLineChars="200"/>
        <w:rPr>
          <w:rFonts w:ascii="宋体" w:hAnsi="宋体" w:cs="Tahoma"/>
          <w:color w:val="000000"/>
          <w:szCs w:val="21"/>
          <w:highlight w:val="none"/>
        </w:rPr>
      </w:pPr>
      <w:r>
        <w:rPr>
          <w:rFonts w:hint="eastAsia" w:ascii="宋体" w:hAnsi="宋体" w:cs="Tahoma"/>
          <w:color w:val="000000"/>
          <w:szCs w:val="21"/>
          <w:highlight w:val="none"/>
        </w:rPr>
        <w:t>3、项目类别：工程类</w:t>
      </w:r>
    </w:p>
    <w:p w14:paraId="11E327B2">
      <w:pPr>
        <w:spacing w:line="360" w:lineRule="auto"/>
        <w:ind w:firstLine="420" w:firstLineChars="200"/>
        <w:rPr>
          <w:rFonts w:ascii="宋体" w:hAnsi="宋体" w:cs="Tahoma"/>
          <w:color w:val="000000"/>
          <w:szCs w:val="21"/>
          <w:highlight w:val="none"/>
        </w:rPr>
      </w:pPr>
      <w:r>
        <w:rPr>
          <w:rFonts w:hint="eastAsia" w:ascii="宋体" w:hAnsi="宋体" w:cs="Tahoma"/>
          <w:color w:val="000000"/>
          <w:szCs w:val="21"/>
          <w:highlight w:val="none"/>
        </w:rPr>
        <w:t>4、采购人：广东潮阳农村商业银行股份有限公司</w:t>
      </w:r>
    </w:p>
    <w:p w14:paraId="0E79872D">
      <w:pPr>
        <w:spacing w:line="360" w:lineRule="auto"/>
        <w:ind w:firstLine="420" w:firstLineChars="200"/>
        <w:rPr>
          <w:rFonts w:ascii="宋体" w:hAnsi="宋体" w:cs="Tahoma"/>
          <w:color w:val="000000"/>
          <w:szCs w:val="21"/>
          <w:highlight w:val="none"/>
        </w:rPr>
      </w:pPr>
      <w:r>
        <w:rPr>
          <w:rFonts w:hint="eastAsia" w:ascii="宋体" w:hAnsi="宋体" w:cs="Tahoma"/>
          <w:color w:val="000000"/>
          <w:szCs w:val="21"/>
          <w:highlight w:val="none"/>
        </w:rPr>
        <w:t>5、项目内容、数量、最高限价及完成时间（含验收完成)：</w:t>
      </w:r>
    </w:p>
    <w:tbl>
      <w:tblPr>
        <w:tblStyle w:val="22"/>
        <w:tblW w:w="96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615"/>
        <w:gridCol w:w="758"/>
        <w:gridCol w:w="3352"/>
        <w:gridCol w:w="2371"/>
      </w:tblGrid>
      <w:tr w14:paraId="6F88F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581" w:type="dxa"/>
            <w:vAlign w:val="center"/>
          </w:tcPr>
          <w:p w14:paraId="481A0371">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序号</w:t>
            </w:r>
          </w:p>
        </w:tc>
        <w:tc>
          <w:tcPr>
            <w:tcW w:w="2615" w:type="dxa"/>
            <w:vAlign w:val="center"/>
          </w:tcPr>
          <w:p w14:paraId="4D564C6E">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项目内容</w:t>
            </w:r>
          </w:p>
        </w:tc>
        <w:tc>
          <w:tcPr>
            <w:tcW w:w="758" w:type="dxa"/>
            <w:vAlign w:val="center"/>
          </w:tcPr>
          <w:p w14:paraId="4BDA0962">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数量</w:t>
            </w:r>
          </w:p>
        </w:tc>
        <w:tc>
          <w:tcPr>
            <w:tcW w:w="3352" w:type="dxa"/>
            <w:vAlign w:val="center"/>
          </w:tcPr>
          <w:p w14:paraId="267CA0A0">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招标控制价（元）</w:t>
            </w:r>
          </w:p>
        </w:tc>
        <w:tc>
          <w:tcPr>
            <w:tcW w:w="2371" w:type="dxa"/>
            <w:vAlign w:val="center"/>
          </w:tcPr>
          <w:p w14:paraId="2F6925D9">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完成时间</w:t>
            </w:r>
          </w:p>
        </w:tc>
      </w:tr>
      <w:tr w14:paraId="37578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581" w:type="dxa"/>
            <w:vAlign w:val="center"/>
          </w:tcPr>
          <w:p w14:paraId="63527EF1">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1</w:t>
            </w:r>
          </w:p>
        </w:tc>
        <w:tc>
          <w:tcPr>
            <w:tcW w:w="2615" w:type="dxa"/>
            <w:vAlign w:val="center"/>
          </w:tcPr>
          <w:p w14:paraId="6668B527">
            <w:pPr>
              <w:widowControl/>
              <w:jc w:val="center"/>
              <w:textAlignment w:val="center"/>
              <w:rPr>
                <w:rFonts w:ascii="宋体" w:hAnsi="宋体" w:cs="宋体"/>
                <w:color w:val="000000"/>
                <w:kern w:val="0"/>
                <w:sz w:val="21"/>
                <w:szCs w:val="21"/>
                <w:highlight w:val="none"/>
                <w:shd w:val="clear" w:color="auto" w:fill="FFFFFF"/>
              </w:rPr>
            </w:pPr>
            <w:r>
              <w:rPr>
                <w:rFonts w:hint="eastAsia" w:ascii="宋体" w:hAnsi="宋体" w:cs="Tahoma"/>
                <w:color w:val="000000"/>
                <w:sz w:val="21"/>
                <w:szCs w:val="21"/>
                <w:highlight w:val="none"/>
                <w:lang w:eastAsia="zh-CN"/>
              </w:rPr>
              <w:t>潮阳农村商业银行铜盂支行营业厅、办公场所装修改造项目</w:t>
            </w:r>
          </w:p>
        </w:tc>
        <w:tc>
          <w:tcPr>
            <w:tcW w:w="758" w:type="dxa"/>
            <w:vAlign w:val="center"/>
          </w:tcPr>
          <w:p w14:paraId="45B59433">
            <w:pPr>
              <w:widowControl/>
              <w:jc w:val="center"/>
              <w:textAlignment w:val="center"/>
              <w:rPr>
                <w:rFonts w:ascii="宋体" w:hAnsi="宋体" w:cs="宋体"/>
                <w:color w:val="000000"/>
                <w:kern w:val="0"/>
                <w:sz w:val="21"/>
                <w:szCs w:val="21"/>
                <w:highlight w:val="none"/>
                <w:shd w:val="clear" w:color="auto" w:fill="FFFFFF"/>
              </w:rPr>
            </w:pPr>
            <w:r>
              <w:rPr>
                <w:rFonts w:hint="eastAsia" w:ascii="宋体" w:hAnsi="宋体" w:cs="宋体"/>
                <w:color w:val="000000"/>
                <w:kern w:val="0"/>
                <w:sz w:val="21"/>
                <w:szCs w:val="21"/>
                <w:highlight w:val="none"/>
                <w:shd w:val="clear" w:color="auto" w:fill="FFFFFF"/>
              </w:rPr>
              <w:t>1项</w:t>
            </w:r>
          </w:p>
        </w:tc>
        <w:tc>
          <w:tcPr>
            <w:tcW w:w="3352" w:type="dxa"/>
            <w:vAlign w:val="center"/>
          </w:tcPr>
          <w:p w14:paraId="0CE4576E">
            <w:pPr>
              <w:widowControl/>
              <w:jc w:val="center"/>
              <w:textAlignment w:val="center"/>
              <w:rPr>
                <w:rFonts w:ascii="宋体" w:hAnsi="宋体" w:cs="宋体"/>
                <w:color w:val="000000"/>
                <w:kern w:val="0"/>
                <w:sz w:val="21"/>
                <w:szCs w:val="21"/>
                <w:highlight w:val="none"/>
                <w:shd w:val="clear" w:color="auto" w:fill="FFFFFF"/>
              </w:rPr>
            </w:pPr>
            <w:r>
              <w:rPr>
                <w:rFonts w:hint="eastAsia" w:ascii="宋体" w:hAnsi="宋体" w:cs="宋体"/>
                <w:color w:val="000000"/>
                <w:kern w:val="0"/>
                <w:sz w:val="21"/>
                <w:szCs w:val="21"/>
                <w:highlight w:val="none"/>
                <w:shd w:val="clear" w:color="auto" w:fill="FFFFFF"/>
                <w:lang w:val="en-US" w:eastAsia="zh-CN"/>
              </w:rPr>
              <w:t>809,710.71</w:t>
            </w:r>
            <w:r>
              <w:rPr>
                <w:rFonts w:hint="eastAsia" w:ascii="宋体" w:hAnsi="宋体" w:cs="宋体"/>
                <w:color w:val="000000"/>
                <w:kern w:val="0"/>
                <w:sz w:val="21"/>
                <w:szCs w:val="21"/>
                <w:highlight w:val="none"/>
                <w:shd w:val="clear" w:color="auto" w:fill="FFFFFF"/>
              </w:rPr>
              <w:t xml:space="preserve"> 元（其中绿色施工安全防护措施费：</w:t>
            </w:r>
            <w:r>
              <w:rPr>
                <w:rFonts w:hint="eastAsia" w:ascii="宋体" w:hAnsi="宋体" w:cs="宋体"/>
                <w:color w:val="000000"/>
                <w:kern w:val="0"/>
                <w:sz w:val="21"/>
                <w:szCs w:val="21"/>
                <w:highlight w:val="none"/>
                <w:shd w:val="clear" w:color="auto" w:fill="FFFFFF"/>
                <w:lang w:val="en-US" w:eastAsia="zh-CN"/>
              </w:rPr>
              <w:t>24,240.65</w:t>
            </w:r>
            <w:r>
              <w:rPr>
                <w:rFonts w:hint="eastAsia" w:ascii="宋体" w:hAnsi="宋体" w:cs="宋体"/>
                <w:color w:val="000000"/>
                <w:kern w:val="0"/>
                <w:sz w:val="21"/>
                <w:szCs w:val="21"/>
                <w:highlight w:val="none"/>
                <w:shd w:val="clear" w:color="auto" w:fill="FFFFFF"/>
              </w:rPr>
              <w:t>元）</w:t>
            </w:r>
          </w:p>
        </w:tc>
        <w:tc>
          <w:tcPr>
            <w:tcW w:w="2371" w:type="dxa"/>
            <w:vAlign w:val="center"/>
          </w:tcPr>
          <w:p w14:paraId="471975E9">
            <w:pPr>
              <w:spacing w:line="360" w:lineRule="auto"/>
              <w:jc w:val="center"/>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自签订之日起60个日历天内完成</w:t>
            </w:r>
          </w:p>
        </w:tc>
      </w:tr>
    </w:tbl>
    <w:p w14:paraId="43C09B17">
      <w:pPr>
        <w:numPr>
          <w:ilvl w:val="0"/>
          <w:numId w:val="0"/>
        </w:numPr>
        <w:spacing w:line="360" w:lineRule="auto"/>
        <w:ind w:firstLine="420" w:firstLineChars="200"/>
        <w:rPr>
          <w:rFonts w:ascii="宋体" w:hAnsi="宋体"/>
          <w:color w:val="000000"/>
          <w:szCs w:val="21"/>
          <w:highlight w:val="none"/>
        </w:rPr>
      </w:pPr>
      <w:r>
        <w:rPr>
          <w:rFonts w:hint="eastAsia" w:ascii="宋体" w:hAnsi="宋体"/>
          <w:color w:val="000000"/>
          <w:szCs w:val="21"/>
          <w:highlight w:val="none"/>
          <w:lang w:val="en-US" w:eastAsia="zh-CN"/>
        </w:rPr>
        <w:t>6、</w:t>
      </w:r>
      <w:r>
        <w:rPr>
          <w:rFonts w:hint="eastAsia" w:ascii="宋体" w:hAnsi="宋体"/>
          <w:color w:val="000000"/>
          <w:szCs w:val="21"/>
          <w:highlight w:val="none"/>
        </w:rPr>
        <w:t>简要技术要求或采购项目的性质：</w:t>
      </w:r>
      <w:r>
        <w:rPr>
          <w:rFonts w:ascii="宋体" w:hAnsi="宋体"/>
          <w:color w:val="000000"/>
          <w:szCs w:val="21"/>
          <w:highlight w:val="none"/>
        </w:rPr>
        <w:t>所投</w:t>
      </w:r>
      <w:r>
        <w:rPr>
          <w:rFonts w:hint="eastAsia" w:ascii="宋体" w:hAnsi="宋体"/>
          <w:color w:val="000000"/>
          <w:szCs w:val="21"/>
          <w:highlight w:val="none"/>
        </w:rPr>
        <w:t>工程、设计及服务</w:t>
      </w:r>
      <w:r>
        <w:rPr>
          <w:rFonts w:ascii="宋体" w:hAnsi="宋体"/>
          <w:color w:val="000000"/>
          <w:szCs w:val="21"/>
          <w:highlight w:val="none"/>
        </w:rPr>
        <w:t>须符合国家</w:t>
      </w:r>
      <w:r>
        <w:rPr>
          <w:rFonts w:hint="eastAsia" w:ascii="宋体" w:hAnsi="宋体"/>
          <w:color w:val="000000"/>
          <w:szCs w:val="21"/>
          <w:highlight w:val="none"/>
        </w:rPr>
        <w:t>及行业</w:t>
      </w:r>
      <w:r>
        <w:rPr>
          <w:rFonts w:ascii="宋体" w:hAnsi="宋体"/>
          <w:color w:val="000000"/>
          <w:szCs w:val="21"/>
          <w:highlight w:val="none"/>
        </w:rPr>
        <w:t>有关性能技术指标</w:t>
      </w:r>
      <w:r>
        <w:rPr>
          <w:rFonts w:hint="eastAsia" w:ascii="宋体" w:hAnsi="宋体"/>
          <w:color w:val="000000"/>
          <w:szCs w:val="21"/>
          <w:highlight w:val="none"/>
        </w:rPr>
        <w:t>的要求</w:t>
      </w:r>
      <w:r>
        <w:rPr>
          <w:rFonts w:ascii="宋体" w:hAnsi="宋体"/>
          <w:color w:val="000000"/>
          <w:szCs w:val="21"/>
          <w:highlight w:val="none"/>
        </w:rPr>
        <w:t>（</w:t>
      </w:r>
      <w:r>
        <w:rPr>
          <w:rFonts w:hint="eastAsia" w:ascii="宋体" w:hAnsi="宋体"/>
          <w:color w:val="000000"/>
          <w:szCs w:val="21"/>
          <w:highlight w:val="none"/>
        </w:rPr>
        <w:t>详见文件第二章采购人需求）。</w:t>
      </w:r>
    </w:p>
    <w:p w14:paraId="2C8EDEEA">
      <w:pPr>
        <w:spacing w:line="400" w:lineRule="exact"/>
        <w:rPr>
          <w:rFonts w:ascii="宋体" w:hAnsi="宋体" w:cs="宋体"/>
          <w:szCs w:val="21"/>
          <w:highlight w:val="none"/>
        </w:rPr>
      </w:pPr>
      <w:r>
        <w:rPr>
          <w:rFonts w:hint="eastAsia" w:ascii="宋体" w:hAnsi="宋体" w:cs="宋体"/>
          <w:szCs w:val="21"/>
          <w:highlight w:val="none"/>
        </w:rPr>
        <w:t>★二、合格投标人资格要求</w:t>
      </w:r>
    </w:p>
    <w:p w14:paraId="4EACE719">
      <w:pPr>
        <w:numPr>
          <w:ilvl w:val="0"/>
          <w:numId w:val="1"/>
        </w:numPr>
        <w:snapToGrid w:val="0"/>
        <w:spacing w:line="360" w:lineRule="auto"/>
        <w:rPr>
          <w:rFonts w:ascii="宋体" w:hAnsi="宋体"/>
          <w:bCs/>
          <w:szCs w:val="20"/>
          <w:highlight w:val="none"/>
        </w:rPr>
      </w:pPr>
      <w:r>
        <w:rPr>
          <w:rFonts w:hint="eastAsia" w:ascii="宋体" w:hAnsi="宋体"/>
          <w:bCs/>
          <w:szCs w:val="20"/>
          <w:highlight w:val="none"/>
        </w:rPr>
        <w:t>供应商应具备《</w:t>
      </w:r>
      <w:r>
        <w:rPr>
          <w:rFonts w:hint="eastAsia" w:ascii="宋体" w:hAnsi="宋体"/>
          <w:bCs/>
          <w:highlight w:val="none"/>
        </w:rPr>
        <w:t>中华人民共和国</w:t>
      </w:r>
      <w:r>
        <w:rPr>
          <w:rFonts w:hint="eastAsia" w:ascii="宋体" w:hAnsi="宋体"/>
          <w:bCs/>
          <w:szCs w:val="20"/>
          <w:highlight w:val="none"/>
        </w:rPr>
        <w:t>政府采购法》第二十二条规定的条件；提供以下材料：</w:t>
      </w:r>
    </w:p>
    <w:p w14:paraId="364D55A9">
      <w:pPr>
        <w:pStyle w:val="60"/>
        <w:numPr>
          <w:ilvl w:val="1"/>
          <w:numId w:val="2"/>
        </w:numPr>
        <w:tabs>
          <w:tab w:val="left" w:pos="567"/>
        </w:tabs>
        <w:snapToGrid w:val="0"/>
        <w:spacing w:line="360" w:lineRule="auto"/>
        <w:ind w:left="567" w:hanging="567" w:firstLineChars="0"/>
        <w:rPr>
          <w:rFonts w:ascii="宋体" w:hAnsi="宋体" w:eastAsia="宋体"/>
          <w:sz w:val="21"/>
          <w:szCs w:val="21"/>
          <w:highlight w:val="none"/>
        </w:rPr>
      </w:pPr>
      <w:r>
        <w:rPr>
          <w:rFonts w:hint="eastAsia" w:ascii="宋体" w:hAnsi="宋体" w:eastAsia="宋体"/>
          <w:sz w:val="21"/>
          <w:szCs w:val="21"/>
          <w:highlight w:val="none"/>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025BE64">
      <w:pPr>
        <w:pStyle w:val="60"/>
        <w:numPr>
          <w:ilvl w:val="1"/>
          <w:numId w:val="2"/>
        </w:numPr>
        <w:tabs>
          <w:tab w:val="left" w:pos="567"/>
        </w:tabs>
        <w:snapToGrid w:val="0"/>
        <w:spacing w:line="360" w:lineRule="auto"/>
        <w:ind w:left="567" w:hanging="567" w:firstLineChars="0"/>
        <w:rPr>
          <w:rFonts w:ascii="宋体" w:hAnsi="宋体" w:eastAsia="宋体"/>
          <w:sz w:val="21"/>
          <w:szCs w:val="21"/>
          <w:highlight w:val="none"/>
        </w:rPr>
      </w:pPr>
      <w:r>
        <w:rPr>
          <w:rFonts w:hint="eastAsia" w:ascii="宋体" w:hAnsi="宋体" w:eastAsia="宋体"/>
          <w:sz w:val="21"/>
          <w:szCs w:val="21"/>
          <w:highlight w:val="none"/>
        </w:rPr>
        <w:t>提供</w:t>
      </w:r>
      <w:r>
        <w:rPr>
          <w:rFonts w:hint="eastAsia" w:ascii="宋体" w:hAnsi="宋体" w:eastAsia="宋体" w:cs="Times New Roman"/>
          <w:sz w:val="21"/>
          <w:szCs w:val="21"/>
          <w:highlight w:val="none"/>
          <w:lang w:val="en-US" w:eastAsia="zh-CN"/>
        </w:rPr>
        <w:t>2023</w:t>
      </w:r>
      <w:r>
        <w:rPr>
          <w:rFonts w:hint="eastAsia" w:ascii="宋体" w:hAnsi="宋体" w:eastAsia="宋体" w:cs="Times New Roman"/>
          <w:sz w:val="21"/>
          <w:szCs w:val="21"/>
          <w:highlight w:val="none"/>
        </w:rPr>
        <w:t>年度</w:t>
      </w:r>
      <w:r>
        <w:rPr>
          <w:rFonts w:hint="eastAsia" w:ascii="宋体" w:hAnsi="宋体" w:eastAsia="宋体"/>
          <w:sz w:val="21"/>
          <w:szCs w:val="21"/>
          <w:highlight w:val="none"/>
        </w:rPr>
        <w:t>财务状况报告或财务报表或近期银行出具的资信证明（202</w:t>
      </w:r>
      <w:r>
        <w:rPr>
          <w:rFonts w:hint="eastAsia" w:ascii="宋体" w:hAnsi="宋体" w:eastAsia="宋体"/>
          <w:sz w:val="21"/>
          <w:szCs w:val="21"/>
          <w:highlight w:val="none"/>
          <w:lang w:val="en-US" w:eastAsia="zh-CN"/>
        </w:rPr>
        <w:t>4</w:t>
      </w:r>
      <w:r>
        <w:rPr>
          <w:rFonts w:hint="eastAsia" w:ascii="宋体" w:hAnsi="宋体" w:eastAsia="宋体"/>
          <w:sz w:val="21"/>
          <w:szCs w:val="21"/>
          <w:highlight w:val="none"/>
        </w:rPr>
        <w:t>年1月1日之后成立的单位只须提供成立至今的财务报表或基本户银行出具的近期资信证明）材料复印件；</w:t>
      </w:r>
    </w:p>
    <w:p w14:paraId="7E2733A8">
      <w:pPr>
        <w:pStyle w:val="60"/>
        <w:numPr>
          <w:ilvl w:val="1"/>
          <w:numId w:val="2"/>
        </w:numPr>
        <w:tabs>
          <w:tab w:val="left" w:pos="567"/>
        </w:tabs>
        <w:snapToGrid w:val="0"/>
        <w:spacing w:line="360" w:lineRule="auto"/>
        <w:ind w:left="567" w:hanging="567" w:firstLineChars="0"/>
        <w:rPr>
          <w:rFonts w:ascii="宋体" w:hAnsi="宋体" w:eastAsia="宋体"/>
          <w:sz w:val="21"/>
          <w:szCs w:val="21"/>
          <w:highlight w:val="none"/>
        </w:rPr>
      </w:pPr>
      <w:r>
        <w:rPr>
          <w:rFonts w:hint="eastAsia" w:ascii="宋体" w:hAnsi="宋体" w:eastAsia="宋体"/>
          <w:sz w:val="21"/>
          <w:szCs w:val="21"/>
          <w:highlight w:val="none"/>
        </w:rPr>
        <w:t>提供近半年来任一个月依法缴纳税收和社会保障资金的证明材料复印件；如依法免税或不需要缴纳社会保障资金的，应提供相关材料；</w:t>
      </w:r>
    </w:p>
    <w:p w14:paraId="1468280B">
      <w:pPr>
        <w:pStyle w:val="60"/>
        <w:numPr>
          <w:ilvl w:val="1"/>
          <w:numId w:val="2"/>
        </w:numPr>
        <w:tabs>
          <w:tab w:val="left" w:pos="567"/>
        </w:tabs>
        <w:snapToGrid w:val="0"/>
        <w:spacing w:line="360" w:lineRule="auto"/>
        <w:ind w:left="567" w:hanging="567" w:firstLineChars="0"/>
        <w:rPr>
          <w:rFonts w:ascii="宋体" w:hAnsi="宋体" w:eastAsia="宋体"/>
          <w:sz w:val="21"/>
          <w:szCs w:val="21"/>
          <w:highlight w:val="none"/>
        </w:rPr>
      </w:pPr>
      <w:r>
        <w:rPr>
          <w:rFonts w:hint="eastAsia" w:ascii="宋体" w:hAnsi="宋体" w:eastAsia="宋体"/>
          <w:sz w:val="21"/>
          <w:szCs w:val="21"/>
          <w:highlight w:val="none"/>
        </w:rPr>
        <w:t>具有建设主管部门颁发的有效的建筑装修装饰工程专业总承包资质贰级（含贰级）以上资质。</w:t>
      </w:r>
    </w:p>
    <w:p w14:paraId="5E45A526">
      <w:pPr>
        <w:pStyle w:val="60"/>
        <w:numPr>
          <w:ilvl w:val="1"/>
          <w:numId w:val="2"/>
        </w:numPr>
        <w:tabs>
          <w:tab w:val="left" w:pos="567"/>
        </w:tabs>
        <w:snapToGrid w:val="0"/>
        <w:spacing w:line="360" w:lineRule="auto"/>
        <w:ind w:left="567" w:hanging="567" w:firstLineChars="0"/>
        <w:rPr>
          <w:rFonts w:ascii="宋体" w:hAnsi="宋体" w:eastAsia="宋体"/>
          <w:sz w:val="21"/>
          <w:szCs w:val="21"/>
          <w:highlight w:val="none"/>
        </w:rPr>
      </w:pPr>
      <w:r>
        <w:rPr>
          <w:rFonts w:hint="eastAsia" w:ascii="宋体" w:hAnsi="宋体" w:eastAsia="宋体"/>
          <w:sz w:val="21"/>
          <w:szCs w:val="21"/>
          <w:highlight w:val="none"/>
        </w:rPr>
        <w:t>须持有建设行政主管部门颁发有效的《安全生产许可证》。</w:t>
      </w:r>
    </w:p>
    <w:p w14:paraId="15F2A000">
      <w:pPr>
        <w:pStyle w:val="60"/>
        <w:numPr>
          <w:ilvl w:val="1"/>
          <w:numId w:val="2"/>
        </w:numPr>
        <w:tabs>
          <w:tab w:val="left" w:pos="567"/>
        </w:tabs>
        <w:snapToGrid w:val="0"/>
        <w:spacing w:line="360" w:lineRule="auto"/>
        <w:ind w:left="567" w:hanging="567" w:firstLineChars="0"/>
        <w:rPr>
          <w:rFonts w:ascii="宋体" w:hAnsi="宋体" w:eastAsia="宋体"/>
          <w:sz w:val="21"/>
          <w:szCs w:val="21"/>
          <w:highlight w:val="none"/>
        </w:rPr>
      </w:pPr>
      <w:r>
        <w:rPr>
          <w:rFonts w:hint="eastAsia" w:ascii="宋体" w:hAnsi="宋体" w:eastAsia="宋体"/>
          <w:sz w:val="21"/>
          <w:szCs w:val="21"/>
          <w:highlight w:val="none"/>
        </w:rPr>
        <w:t>提供履行合同所必需的设备和专业技术能力的证明材料；（提供《资格声明函》）；</w:t>
      </w:r>
    </w:p>
    <w:p w14:paraId="055214BF">
      <w:pPr>
        <w:pStyle w:val="60"/>
        <w:numPr>
          <w:ilvl w:val="1"/>
          <w:numId w:val="2"/>
        </w:numPr>
        <w:tabs>
          <w:tab w:val="left" w:pos="567"/>
        </w:tabs>
        <w:snapToGrid w:val="0"/>
        <w:spacing w:line="360" w:lineRule="auto"/>
        <w:ind w:left="567" w:hanging="567" w:firstLineChars="0"/>
        <w:rPr>
          <w:rFonts w:ascii="宋体" w:hAnsi="宋体" w:eastAsia="宋体"/>
          <w:sz w:val="21"/>
          <w:szCs w:val="21"/>
          <w:highlight w:val="none"/>
        </w:rPr>
      </w:pPr>
      <w:r>
        <w:rPr>
          <w:rFonts w:hint="eastAsia" w:ascii="宋体" w:hAnsi="宋体" w:eastAsia="宋体"/>
          <w:sz w:val="21"/>
          <w:szCs w:val="21"/>
          <w:highlight w:val="none"/>
        </w:rPr>
        <w:t>提供参加政府</w:t>
      </w:r>
      <w:r>
        <w:rPr>
          <w:rFonts w:hint="eastAsia" w:ascii="宋体" w:hAnsi="宋体" w:eastAsia="宋体"/>
          <w:sz w:val="21"/>
          <w:szCs w:val="21"/>
          <w:highlight w:val="none"/>
          <w:lang w:eastAsia="zh-CN"/>
        </w:rPr>
        <w:t>、企业</w:t>
      </w:r>
      <w:r>
        <w:rPr>
          <w:rFonts w:hint="eastAsia" w:ascii="宋体" w:hAnsi="宋体" w:eastAsia="宋体"/>
          <w:sz w:val="21"/>
          <w:szCs w:val="21"/>
          <w:highlight w:val="none"/>
        </w:rPr>
        <w:t>采购活动前3年内在经营活动中没有重大违法记录的书面声明；（提供《资格声明函》）。</w:t>
      </w:r>
    </w:p>
    <w:p w14:paraId="41591A27">
      <w:pPr>
        <w:numPr>
          <w:ilvl w:val="0"/>
          <w:numId w:val="1"/>
        </w:numPr>
        <w:snapToGrid w:val="0"/>
        <w:spacing w:line="360" w:lineRule="auto"/>
        <w:rPr>
          <w:rFonts w:hAnsi="宋体" w:cs="宋体"/>
          <w:bCs/>
          <w:highlight w:val="none"/>
        </w:rPr>
      </w:pPr>
      <w:r>
        <w:rPr>
          <w:rFonts w:hint="eastAsia" w:hAnsi="宋体" w:cs="宋体"/>
          <w:bCs/>
          <w:highlight w:val="none"/>
        </w:rPr>
        <w:t>为采购项目提供整体设计、规范编制或者项目管理、监理、检测等服务的供应商，不得再参加同一采购项目的其他采购活动</w:t>
      </w:r>
      <w:r>
        <w:rPr>
          <w:rFonts w:hint="eastAsia" w:ascii="宋体" w:hAnsi="宋体"/>
          <w:bCs/>
          <w:highlight w:val="none"/>
        </w:rPr>
        <w:t>的书面声明。</w:t>
      </w:r>
      <w:r>
        <w:rPr>
          <w:rFonts w:hint="eastAsia" w:ascii="宋体" w:hAnsi="宋体"/>
          <w:bCs/>
          <w:szCs w:val="20"/>
          <w:highlight w:val="none"/>
        </w:rPr>
        <w:t>（提供《</w:t>
      </w:r>
      <w:r>
        <w:rPr>
          <w:rFonts w:hint="eastAsia" w:ascii="宋体" w:hAnsi="宋体"/>
          <w:highlight w:val="none"/>
        </w:rPr>
        <w:t>承诺函</w:t>
      </w:r>
      <w:r>
        <w:rPr>
          <w:rFonts w:hint="eastAsia" w:ascii="宋体" w:hAnsi="宋体"/>
          <w:bCs/>
          <w:szCs w:val="20"/>
          <w:highlight w:val="none"/>
        </w:rPr>
        <w:t>》）</w:t>
      </w:r>
    </w:p>
    <w:p w14:paraId="796871E0">
      <w:pPr>
        <w:numPr>
          <w:ilvl w:val="0"/>
          <w:numId w:val="1"/>
        </w:numPr>
        <w:snapToGrid w:val="0"/>
        <w:spacing w:line="360" w:lineRule="auto"/>
        <w:rPr>
          <w:rFonts w:hAnsi="宋体" w:cs="宋体"/>
          <w:bCs/>
          <w:highlight w:val="none"/>
        </w:rPr>
      </w:pPr>
      <w:r>
        <w:rPr>
          <w:rFonts w:hint="eastAsia" w:ascii="宋体" w:hAnsi="宋体"/>
          <w:highlight w:val="none"/>
        </w:rPr>
        <w:t>单位负责人为同一人或者存在直接控股、管理关系的不同供应商，</w:t>
      </w:r>
      <w:r>
        <w:rPr>
          <w:rFonts w:hint="eastAsia"/>
          <w:bCs/>
          <w:highlight w:val="none"/>
        </w:rPr>
        <w:t>不得参加同一合同项下的政府</w:t>
      </w:r>
      <w:r>
        <w:rPr>
          <w:rFonts w:hint="eastAsia"/>
          <w:bCs/>
          <w:highlight w:val="none"/>
          <w:lang w:eastAsia="zh-CN"/>
        </w:rPr>
        <w:t>、企业</w:t>
      </w:r>
      <w:r>
        <w:rPr>
          <w:rFonts w:hint="eastAsia" w:hAnsi="宋体" w:cs="宋体"/>
          <w:bCs/>
          <w:highlight w:val="none"/>
        </w:rPr>
        <w:t>采购活动。（提供《承诺函》）</w:t>
      </w:r>
    </w:p>
    <w:p w14:paraId="681986D5">
      <w:pPr>
        <w:numPr>
          <w:ilvl w:val="0"/>
          <w:numId w:val="1"/>
        </w:numPr>
        <w:snapToGrid w:val="0"/>
        <w:spacing w:line="360" w:lineRule="auto"/>
        <w:rPr>
          <w:rFonts w:hAnsi="宋体" w:cs="宋体"/>
          <w:bCs/>
          <w:highlight w:val="none"/>
        </w:rPr>
      </w:pPr>
      <w:r>
        <w:rPr>
          <w:rFonts w:hint="eastAsia" w:hAnsi="宋体" w:cs="宋体"/>
          <w:bCs/>
          <w:highlight w:val="none"/>
        </w:rPr>
        <w:t>在提交投标文件截止时间前响应供应商未被列入“信用中国”网站(www.creditchina.gov.cn) 以下任一记录名单之一：①失信被执行人；②重大税收违法案件当事人名单；③政府采购严重违法失信行为。同时，不处于中国政府采购网(www.ccgp.gov.cn)“政府采购严重违法失信行为信息记录”中的禁止参加政府采购活动期间。【说明：1）、由评审小组于递交投标文件截止日在“信用中国”网站（www.creditchina.gov.cn）及中国政府采购网(www.ccgp.gov.cn)查询结果为准。2）、采购代理机构同时对信用信息查询记录和证据截图或下载存档。】</w:t>
      </w:r>
    </w:p>
    <w:p w14:paraId="5919E0CC">
      <w:pPr>
        <w:spacing w:line="360" w:lineRule="auto"/>
        <w:ind w:firstLine="420" w:firstLineChars="200"/>
        <w:rPr>
          <w:rFonts w:ascii="宋体" w:hAnsi="宋体"/>
          <w:szCs w:val="21"/>
          <w:highlight w:val="none"/>
        </w:rPr>
      </w:pPr>
      <w:r>
        <w:rPr>
          <w:rFonts w:hint="eastAsia" w:ascii="宋体" w:hAnsi="宋体"/>
          <w:szCs w:val="21"/>
          <w:highlight w:val="none"/>
        </w:rPr>
        <w:t>6、本项目不接受联合体投标。</w:t>
      </w:r>
    </w:p>
    <w:p w14:paraId="33D8B59F">
      <w:pPr>
        <w:spacing w:line="360" w:lineRule="auto"/>
        <w:rPr>
          <w:rFonts w:ascii="宋体" w:hAnsi="宋体"/>
          <w:szCs w:val="21"/>
          <w:highlight w:val="none"/>
        </w:rPr>
      </w:pPr>
      <w:r>
        <w:rPr>
          <w:rFonts w:hint="eastAsia" w:ascii="宋体" w:hAnsi="宋体"/>
          <w:szCs w:val="21"/>
          <w:highlight w:val="none"/>
        </w:rPr>
        <w:t>三、根据《广东省实施〈中华人民共和国政府采购法〉办法》第三十五条的规定，现将本项目招标文件进行公示，公示期为自招标文件公示之日起五个工作日，供应商认为招标文件的内容损害其权益的，可以在公示期或者自期满之日起七个工作日内以书面形式向我采购代理机构提出质疑。</w:t>
      </w:r>
    </w:p>
    <w:p w14:paraId="1CF75C9E">
      <w:pPr>
        <w:spacing w:line="360" w:lineRule="auto"/>
        <w:rPr>
          <w:rFonts w:ascii="宋体" w:hAnsi="宋体" w:cs="Tahoma"/>
          <w:szCs w:val="21"/>
          <w:highlight w:val="none"/>
        </w:rPr>
      </w:pPr>
      <w:r>
        <w:rPr>
          <w:rFonts w:hint="eastAsia" w:ascii="宋体" w:hAnsi="宋体" w:cs="Tahoma"/>
          <w:szCs w:val="21"/>
          <w:highlight w:val="none"/>
        </w:rPr>
        <w:t>四、符合资格的供应商应当在202</w:t>
      </w:r>
      <w:r>
        <w:rPr>
          <w:rFonts w:hint="eastAsia" w:ascii="宋体" w:hAnsi="宋体" w:cs="Tahoma"/>
          <w:szCs w:val="21"/>
          <w:highlight w:val="none"/>
          <w:lang w:val="en-US" w:eastAsia="zh-CN"/>
        </w:rPr>
        <w:t>4</w:t>
      </w:r>
      <w:r>
        <w:rPr>
          <w:rFonts w:hint="eastAsia" w:ascii="宋体" w:hAnsi="宋体" w:cs="Tahoma"/>
          <w:szCs w:val="21"/>
          <w:highlight w:val="none"/>
        </w:rPr>
        <w:t>年</w:t>
      </w:r>
      <w:r>
        <w:rPr>
          <w:rFonts w:hint="eastAsia" w:ascii="宋体" w:hAnsi="宋体" w:cs="Tahoma"/>
          <w:szCs w:val="21"/>
          <w:highlight w:val="none"/>
          <w:lang w:val="en-US" w:eastAsia="zh-CN"/>
        </w:rPr>
        <w:t>10</w:t>
      </w:r>
      <w:r>
        <w:rPr>
          <w:rFonts w:hint="eastAsia" w:ascii="宋体" w:hAnsi="宋体" w:cs="Tahoma"/>
          <w:szCs w:val="21"/>
          <w:highlight w:val="none"/>
        </w:rPr>
        <w:t>月</w:t>
      </w:r>
      <w:r>
        <w:rPr>
          <w:rFonts w:hint="eastAsia" w:ascii="宋体" w:hAnsi="宋体" w:cs="Tahoma"/>
          <w:szCs w:val="21"/>
          <w:highlight w:val="none"/>
          <w:lang w:val="en-US" w:eastAsia="zh-CN"/>
        </w:rPr>
        <w:t>18</w:t>
      </w:r>
      <w:r>
        <w:rPr>
          <w:rFonts w:hint="eastAsia" w:ascii="宋体" w:hAnsi="宋体" w:cs="Tahoma"/>
          <w:szCs w:val="21"/>
          <w:highlight w:val="none"/>
        </w:rPr>
        <w:t>日起至202</w:t>
      </w:r>
      <w:r>
        <w:rPr>
          <w:rFonts w:hint="eastAsia" w:ascii="宋体" w:hAnsi="宋体" w:cs="Tahoma"/>
          <w:szCs w:val="21"/>
          <w:highlight w:val="none"/>
          <w:lang w:val="en-US" w:eastAsia="zh-CN"/>
        </w:rPr>
        <w:t>4</w:t>
      </w:r>
      <w:r>
        <w:rPr>
          <w:rFonts w:hint="eastAsia" w:ascii="宋体" w:hAnsi="宋体" w:cs="Tahoma"/>
          <w:szCs w:val="21"/>
          <w:highlight w:val="none"/>
        </w:rPr>
        <w:t>年</w:t>
      </w:r>
      <w:r>
        <w:rPr>
          <w:rFonts w:hint="eastAsia" w:ascii="宋体" w:hAnsi="宋体" w:cs="Tahoma"/>
          <w:szCs w:val="21"/>
          <w:highlight w:val="none"/>
          <w:lang w:val="en-US" w:eastAsia="zh-CN"/>
        </w:rPr>
        <w:t>10</w:t>
      </w:r>
      <w:r>
        <w:rPr>
          <w:rFonts w:hint="eastAsia" w:ascii="宋体" w:hAnsi="宋体" w:cs="Tahoma"/>
          <w:szCs w:val="21"/>
          <w:highlight w:val="none"/>
        </w:rPr>
        <w:t>月</w:t>
      </w:r>
      <w:r>
        <w:rPr>
          <w:rFonts w:hint="eastAsia" w:ascii="宋体" w:hAnsi="宋体" w:cs="Tahoma"/>
          <w:szCs w:val="21"/>
          <w:highlight w:val="none"/>
          <w:lang w:val="en-US" w:eastAsia="zh-CN"/>
        </w:rPr>
        <w:t>24</w:t>
      </w:r>
      <w:r>
        <w:rPr>
          <w:rFonts w:hint="eastAsia" w:ascii="宋体" w:hAnsi="宋体" w:cs="Tahoma"/>
          <w:szCs w:val="21"/>
          <w:highlight w:val="none"/>
        </w:rPr>
        <w:t>日期间（每天9∶00至12∶00，14∶30至17∶30，法定节假日除外）到广东群升招标代理有限公司（详细地址：汕头市龙湖区衡山路锦龙商业大厦10楼1001-1002单位）购买招标文件，招标文件售价人民币300元/套，售后不退（免费提供纸质文件，请自备U盘拷贝电子文档）,邮寄购买咨询0754-88896000。</w:t>
      </w:r>
    </w:p>
    <w:p w14:paraId="0EC55EF0">
      <w:pPr>
        <w:spacing w:line="360" w:lineRule="auto"/>
        <w:rPr>
          <w:rFonts w:ascii="宋体" w:hAnsi="宋体" w:cs="Tahoma"/>
          <w:szCs w:val="21"/>
          <w:highlight w:val="none"/>
        </w:rPr>
      </w:pPr>
      <w:r>
        <w:rPr>
          <w:rFonts w:hint="eastAsia" w:ascii="宋体" w:hAnsi="宋体" w:cs="Tahoma"/>
          <w:szCs w:val="21"/>
          <w:highlight w:val="none"/>
        </w:rPr>
        <w:t>五、获取招标文件时请带齐以下资料（全部须加盖公章）：</w:t>
      </w:r>
    </w:p>
    <w:p w14:paraId="21E2F61D">
      <w:pPr>
        <w:tabs>
          <w:tab w:val="left" w:pos="284"/>
        </w:tabs>
        <w:snapToGrid w:val="0"/>
        <w:spacing w:line="360" w:lineRule="auto"/>
        <w:rPr>
          <w:rFonts w:ascii="宋体" w:hAnsi="宋体"/>
          <w:bCs/>
          <w:highlight w:val="none"/>
        </w:rPr>
      </w:pPr>
      <w:r>
        <w:rPr>
          <w:rFonts w:hint="eastAsia" w:ascii="宋体" w:hAnsi="宋体"/>
          <w:bCs/>
          <w:highlight w:val="none"/>
        </w:rPr>
        <w:t>1、有效的《营业执照》复印件一份；</w:t>
      </w:r>
    </w:p>
    <w:p w14:paraId="44965665">
      <w:pPr>
        <w:tabs>
          <w:tab w:val="left" w:pos="284"/>
        </w:tabs>
        <w:snapToGrid w:val="0"/>
        <w:spacing w:line="360" w:lineRule="auto"/>
        <w:rPr>
          <w:rFonts w:ascii="宋体" w:hAnsi="宋体"/>
          <w:bCs/>
          <w:highlight w:val="none"/>
        </w:rPr>
      </w:pPr>
      <w:r>
        <w:rPr>
          <w:rFonts w:hint="eastAsia" w:ascii="宋体" w:hAnsi="宋体"/>
          <w:bCs/>
          <w:highlight w:val="none"/>
        </w:rPr>
        <w:t>2、《法定代表人身份证明书》原件一份，法定代表人身份证复印件一份；</w:t>
      </w:r>
    </w:p>
    <w:p w14:paraId="42815998">
      <w:pPr>
        <w:tabs>
          <w:tab w:val="left" w:pos="284"/>
        </w:tabs>
        <w:snapToGrid w:val="0"/>
        <w:spacing w:line="360" w:lineRule="auto"/>
        <w:rPr>
          <w:rFonts w:ascii="宋体" w:hAnsi="宋体"/>
          <w:bCs/>
          <w:highlight w:val="none"/>
        </w:rPr>
      </w:pPr>
      <w:r>
        <w:rPr>
          <w:rFonts w:hint="eastAsia" w:ascii="宋体" w:hAnsi="宋体"/>
          <w:bCs/>
          <w:highlight w:val="none"/>
        </w:rPr>
        <w:t>3、《法定代表人授权委托书》原件一份，被授权人身份证复印件一份（若委托代理人领取招标文件）；</w:t>
      </w:r>
    </w:p>
    <w:p w14:paraId="314AB36D">
      <w:pPr>
        <w:tabs>
          <w:tab w:val="left" w:pos="709"/>
        </w:tabs>
        <w:snapToGrid w:val="0"/>
        <w:spacing w:line="360" w:lineRule="auto"/>
        <w:rPr>
          <w:rFonts w:hint="eastAsia" w:ascii="宋体"/>
          <w:b/>
          <w:bCs w:val="0"/>
          <w:highlight w:val="none"/>
        </w:rPr>
      </w:pPr>
      <w:r>
        <w:rPr>
          <w:rFonts w:hint="eastAsia" w:ascii="宋体" w:hAnsi="宋体"/>
          <w:b/>
          <w:highlight w:val="none"/>
        </w:rPr>
        <w:t>注：《营业执照》以及被授权人身份证（或法定代表人身份证）在报名获取招标文件时必须提供原件进行核对,文件提供人应保证以上文件真实可靠，如因所提供文件不实导致与本项目有关的任何</w:t>
      </w:r>
      <w:r>
        <w:rPr>
          <w:rFonts w:hint="eastAsia" w:ascii="宋体"/>
          <w:b/>
          <w:bCs w:val="0"/>
          <w:highlight w:val="none"/>
        </w:rPr>
        <w:t>损失由提供人承担。</w:t>
      </w:r>
    </w:p>
    <w:p w14:paraId="4F7E1409">
      <w:pPr>
        <w:spacing w:line="360" w:lineRule="auto"/>
        <w:ind w:left="794" w:leftChars="228" w:hanging="315" w:hangingChars="150"/>
        <w:rPr>
          <w:rFonts w:ascii="宋体" w:hAnsi="宋体" w:cs="Tahoma"/>
          <w:szCs w:val="21"/>
          <w:highlight w:val="none"/>
        </w:rPr>
      </w:pPr>
      <w:r>
        <w:rPr>
          <w:rFonts w:hint="eastAsia" w:ascii="宋体" w:hAnsi="宋体" w:cs="Tahoma"/>
          <w:szCs w:val="21"/>
          <w:highlight w:val="none"/>
        </w:rPr>
        <w:t>其它说明：</w:t>
      </w:r>
    </w:p>
    <w:p w14:paraId="05D6D4A0">
      <w:pPr>
        <w:spacing w:line="360" w:lineRule="auto"/>
        <w:ind w:firstLine="420" w:firstLineChars="200"/>
        <w:rPr>
          <w:rFonts w:ascii="宋体" w:hAnsi="宋体" w:cs="Tahoma"/>
          <w:szCs w:val="21"/>
          <w:highlight w:val="none"/>
        </w:rPr>
      </w:pPr>
      <w:r>
        <w:rPr>
          <w:rFonts w:hint="eastAsia" w:ascii="宋体" w:hAnsi="宋体" w:cs="Tahoma"/>
          <w:szCs w:val="21"/>
          <w:highlight w:val="none"/>
        </w:rPr>
        <w:t>（1）已办理报名并成功购买招标文件的供应商参加投标的，不代表通过资格、符合性审查。</w:t>
      </w:r>
    </w:p>
    <w:p w14:paraId="3A40EF6E">
      <w:pPr>
        <w:spacing w:line="360" w:lineRule="auto"/>
        <w:ind w:firstLine="420" w:firstLineChars="200"/>
        <w:rPr>
          <w:rFonts w:ascii="宋体" w:hAnsi="宋体" w:cs="Tahoma"/>
          <w:szCs w:val="21"/>
          <w:highlight w:val="none"/>
        </w:rPr>
      </w:pPr>
      <w:r>
        <w:rPr>
          <w:rFonts w:hint="eastAsia" w:ascii="宋体" w:hAnsi="宋体" w:cs="Tahoma"/>
          <w:szCs w:val="21"/>
          <w:highlight w:val="none"/>
        </w:rPr>
        <w:t>（2）供应商未被列入“信用中国”网站(</w:t>
      </w:r>
      <w:r>
        <w:rPr>
          <w:highlight w:val="none"/>
        </w:rPr>
        <w:fldChar w:fldCharType="begin"/>
      </w:r>
      <w:r>
        <w:rPr>
          <w:highlight w:val="none"/>
        </w:rPr>
        <w:instrText xml:space="preserve"> HYPERLINK "http://www.creditchina.gov.cn/" </w:instrText>
      </w:r>
      <w:r>
        <w:rPr>
          <w:highlight w:val="none"/>
        </w:rPr>
        <w:fldChar w:fldCharType="separate"/>
      </w:r>
      <w:r>
        <w:rPr>
          <w:rFonts w:hint="eastAsia" w:ascii="宋体" w:hAnsi="宋体" w:cs="Tahoma"/>
          <w:szCs w:val="21"/>
          <w:highlight w:val="none"/>
        </w:rPr>
        <w:t>www.creditchina.gov.cn</w:t>
      </w:r>
      <w:r>
        <w:rPr>
          <w:rFonts w:hint="eastAsia" w:ascii="宋体" w:hAnsi="宋体" w:cs="Tahoma"/>
          <w:szCs w:val="21"/>
          <w:highlight w:val="none"/>
        </w:rPr>
        <w:fldChar w:fldCharType="end"/>
      </w:r>
      <w:r>
        <w:rPr>
          <w:rFonts w:hint="eastAsia" w:ascii="宋体" w:hAnsi="宋体" w:cs="Tahoma"/>
          <w:szCs w:val="21"/>
          <w:highlight w:val="none"/>
        </w:rPr>
        <w:t>) 以下任意记录名单之一：①失信被执行人；②重大税收违法案件当事人名单；③政府采购严重违法失信行为。同时，不处于中国政府采购网(</w:t>
      </w:r>
      <w:r>
        <w:rPr>
          <w:highlight w:val="none"/>
        </w:rPr>
        <w:fldChar w:fldCharType="begin"/>
      </w:r>
      <w:r>
        <w:rPr>
          <w:highlight w:val="none"/>
        </w:rPr>
        <w:instrText xml:space="preserve"> HYPERLINK "http://www.ccgp.gov.cn/" </w:instrText>
      </w:r>
      <w:r>
        <w:rPr>
          <w:highlight w:val="none"/>
        </w:rPr>
        <w:fldChar w:fldCharType="separate"/>
      </w:r>
      <w:r>
        <w:rPr>
          <w:rFonts w:hint="eastAsia" w:ascii="宋体" w:hAnsi="宋体" w:cs="Tahoma"/>
          <w:szCs w:val="21"/>
          <w:highlight w:val="none"/>
        </w:rPr>
        <w:t>www.ccgp.gov.cn</w:t>
      </w:r>
      <w:r>
        <w:rPr>
          <w:rFonts w:hint="eastAsia" w:ascii="宋体" w:hAnsi="宋体" w:cs="Tahoma"/>
          <w:szCs w:val="21"/>
          <w:highlight w:val="none"/>
        </w:rPr>
        <w:fldChar w:fldCharType="end"/>
      </w:r>
      <w:r>
        <w:rPr>
          <w:rFonts w:hint="eastAsia" w:ascii="宋体" w:hAnsi="宋体" w:cs="Tahoma"/>
          <w:szCs w:val="21"/>
          <w:highlight w:val="none"/>
        </w:rPr>
        <w:t>)“政府采购严重违法失信行为信息记录”中的禁止参加政府</w:t>
      </w:r>
      <w:r>
        <w:rPr>
          <w:rFonts w:hint="eastAsia" w:ascii="宋体" w:hAnsi="宋体" w:cs="Tahoma"/>
          <w:szCs w:val="21"/>
          <w:highlight w:val="none"/>
          <w:lang w:eastAsia="zh-CN"/>
        </w:rPr>
        <w:t>、企业</w:t>
      </w:r>
      <w:r>
        <w:rPr>
          <w:rFonts w:hint="eastAsia" w:ascii="宋体" w:hAnsi="宋体" w:cs="Tahoma"/>
          <w:szCs w:val="21"/>
          <w:highlight w:val="none"/>
        </w:rPr>
        <w:t>采购活动期间。【以采购代理机构查询结果为准，如不符合的，不应参与本次</w:t>
      </w:r>
      <w:r>
        <w:rPr>
          <w:rFonts w:hint="eastAsia" w:ascii="宋体" w:hAnsi="宋体" w:cs="Tahoma"/>
          <w:szCs w:val="21"/>
          <w:highlight w:val="none"/>
          <w:lang w:eastAsia="zh-CN"/>
        </w:rPr>
        <w:t>企业</w:t>
      </w:r>
      <w:r>
        <w:rPr>
          <w:rFonts w:hint="eastAsia" w:ascii="宋体" w:hAnsi="宋体" w:cs="Tahoma"/>
          <w:szCs w:val="21"/>
          <w:highlight w:val="none"/>
        </w:rPr>
        <w:t>采购活动，否则在查核后将被拒绝参与</w:t>
      </w:r>
      <w:r>
        <w:rPr>
          <w:rFonts w:hint="eastAsia" w:ascii="宋体" w:hAnsi="宋体" w:cs="Tahoma"/>
          <w:szCs w:val="21"/>
          <w:highlight w:val="none"/>
          <w:lang w:eastAsia="zh-CN"/>
        </w:rPr>
        <w:t>此次</w:t>
      </w:r>
      <w:r>
        <w:rPr>
          <w:rFonts w:hint="eastAsia" w:ascii="宋体" w:hAnsi="宋体" w:cs="Tahoma"/>
          <w:szCs w:val="21"/>
          <w:highlight w:val="none"/>
        </w:rPr>
        <w:t>采购活动）。</w:t>
      </w:r>
    </w:p>
    <w:p w14:paraId="6906EFC9">
      <w:pPr>
        <w:spacing w:line="360" w:lineRule="auto"/>
        <w:rPr>
          <w:rFonts w:ascii="宋体" w:hAnsi="宋体" w:cs="Tahoma"/>
          <w:szCs w:val="21"/>
          <w:highlight w:val="none"/>
        </w:rPr>
      </w:pPr>
      <w:r>
        <w:rPr>
          <w:rFonts w:hint="eastAsia" w:ascii="宋体" w:hAnsi="宋体" w:cs="Tahoma"/>
          <w:szCs w:val="21"/>
          <w:highlight w:val="none"/>
        </w:rPr>
        <w:t>六、投标、开标时间及地点</w:t>
      </w:r>
    </w:p>
    <w:p w14:paraId="5EF8DD0E">
      <w:pPr>
        <w:spacing w:line="360" w:lineRule="auto"/>
        <w:ind w:firstLine="420" w:firstLineChars="200"/>
        <w:rPr>
          <w:rFonts w:ascii="宋体" w:hAnsi="宋体" w:cs="Tahoma"/>
          <w:szCs w:val="21"/>
          <w:highlight w:val="none"/>
        </w:rPr>
      </w:pPr>
      <w:r>
        <w:rPr>
          <w:rFonts w:hint="eastAsia" w:ascii="宋体" w:hAnsi="宋体" w:cs="Tahoma"/>
          <w:szCs w:val="21"/>
          <w:highlight w:val="none"/>
        </w:rPr>
        <w:t>1、递交投标文件截止时间：202</w:t>
      </w:r>
      <w:r>
        <w:rPr>
          <w:rFonts w:hint="eastAsia" w:ascii="宋体" w:hAnsi="宋体" w:cs="Tahoma"/>
          <w:szCs w:val="21"/>
          <w:highlight w:val="none"/>
          <w:lang w:val="en-US" w:eastAsia="zh-CN"/>
        </w:rPr>
        <w:t>4</w:t>
      </w:r>
      <w:r>
        <w:rPr>
          <w:rFonts w:ascii="宋体" w:hAnsi="宋体" w:cs="Tahoma"/>
          <w:szCs w:val="21"/>
          <w:highlight w:val="none"/>
        </w:rPr>
        <w:t>年</w:t>
      </w:r>
      <w:r>
        <w:rPr>
          <w:rFonts w:hint="eastAsia" w:ascii="宋体" w:hAnsi="宋体" w:cs="Tahoma"/>
          <w:szCs w:val="21"/>
          <w:highlight w:val="none"/>
          <w:lang w:val="en-US" w:eastAsia="zh-CN"/>
        </w:rPr>
        <w:t>11</w:t>
      </w:r>
      <w:r>
        <w:rPr>
          <w:rFonts w:ascii="宋体" w:hAnsi="宋体" w:cs="Tahoma"/>
          <w:szCs w:val="21"/>
          <w:highlight w:val="none"/>
        </w:rPr>
        <w:t>月</w:t>
      </w:r>
      <w:r>
        <w:rPr>
          <w:rFonts w:hint="eastAsia" w:ascii="宋体" w:hAnsi="宋体" w:cs="Tahoma"/>
          <w:szCs w:val="21"/>
          <w:highlight w:val="none"/>
          <w:lang w:val="en-US" w:eastAsia="zh-CN"/>
        </w:rPr>
        <w:t>8</w:t>
      </w:r>
      <w:r>
        <w:rPr>
          <w:rFonts w:ascii="宋体" w:hAnsi="宋体" w:cs="Tahoma"/>
          <w:szCs w:val="21"/>
          <w:highlight w:val="none"/>
        </w:rPr>
        <w:t>日</w:t>
      </w:r>
      <w:r>
        <w:rPr>
          <w:rFonts w:hint="eastAsia" w:ascii="宋体" w:hAnsi="宋体" w:cs="Tahoma"/>
          <w:szCs w:val="21"/>
          <w:highlight w:val="none"/>
          <w:lang w:val="en-US" w:eastAsia="zh-CN"/>
        </w:rPr>
        <w:t>09</w:t>
      </w:r>
      <w:r>
        <w:rPr>
          <w:rFonts w:hint="eastAsia" w:ascii="宋体" w:hAnsi="宋体"/>
          <w:szCs w:val="21"/>
          <w:highlight w:val="none"/>
        </w:rPr>
        <w:t>：</w:t>
      </w:r>
      <w:r>
        <w:rPr>
          <w:rFonts w:hint="eastAsia" w:ascii="宋体" w:hAnsi="宋体"/>
          <w:szCs w:val="21"/>
          <w:highlight w:val="none"/>
          <w:lang w:val="en-US" w:eastAsia="zh-CN"/>
        </w:rPr>
        <w:t>00</w:t>
      </w:r>
      <w:r>
        <w:rPr>
          <w:rFonts w:hint="eastAsia" w:ascii="宋体" w:hAnsi="宋体"/>
          <w:szCs w:val="21"/>
          <w:highlight w:val="none"/>
        </w:rPr>
        <w:t>～</w:t>
      </w:r>
      <w:r>
        <w:rPr>
          <w:rFonts w:hint="eastAsia" w:ascii="宋体" w:hAnsi="宋体"/>
          <w:szCs w:val="21"/>
          <w:highlight w:val="none"/>
          <w:lang w:val="en-US" w:eastAsia="zh-CN"/>
        </w:rPr>
        <w:t>09</w:t>
      </w:r>
      <w:r>
        <w:rPr>
          <w:rFonts w:hint="eastAsia" w:ascii="宋体" w:hAnsi="宋体"/>
          <w:szCs w:val="21"/>
          <w:highlight w:val="none"/>
        </w:rPr>
        <w:t>：</w:t>
      </w:r>
      <w:r>
        <w:rPr>
          <w:rFonts w:hint="eastAsia" w:ascii="宋体" w:hAnsi="宋体"/>
          <w:szCs w:val="21"/>
          <w:highlight w:val="none"/>
          <w:lang w:val="en-US" w:eastAsia="zh-CN"/>
        </w:rPr>
        <w:t>30</w:t>
      </w:r>
      <w:r>
        <w:rPr>
          <w:rFonts w:hint="eastAsia" w:ascii="宋体" w:hAnsi="宋体" w:cs="Tahoma"/>
          <w:szCs w:val="21"/>
          <w:highlight w:val="none"/>
        </w:rPr>
        <w:t>（北京时间）</w:t>
      </w:r>
    </w:p>
    <w:p w14:paraId="11E8BCBF">
      <w:pPr>
        <w:spacing w:line="360" w:lineRule="auto"/>
        <w:ind w:firstLine="420" w:firstLineChars="200"/>
        <w:rPr>
          <w:rFonts w:ascii="宋体" w:hAnsi="宋体" w:cs="Tahoma"/>
          <w:szCs w:val="21"/>
          <w:highlight w:val="none"/>
        </w:rPr>
      </w:pPr>
      <w:r>
        <w:rPr>
          <w:rFonts w:hint="eastAsia" w:ascii="宋体" w:hAnsi="宋体" w:cs="Tahoma"/>
          <w:szCs w:val="21"/>
          <w:highlight w:val="none"/>
        </w:rPr>
        <w:t>2、</w:t>
      </w:r>
      <w:r>
        <w:rPr>
          <w:rFonts w:ascii="宋体" w:hAnsi="宋体" w:cs="Tahoma"/>
          <w:szCs w:val="21"/>
          <w:highlight w:val="none"/>
        </w:rPr>
        <w:t>投标截止</w:t>
      </w:r>
      <w:r>
        <w:rPr>
          <w:rFonts w:hint="eastAsia" w:ascii="宋体" w:hAnsi="宋体" w:cs="Tahoma"/>
          <w:szCs w:val="21"/>
          <w:highlight w:val="none"/>
        </w:rPr>
        <w:t>及开标时间：</w:t>
      </w:r>
      <w:r>
        <w:rPr>
          <w:rFonts w:ascii="宋体" w:hAnsi="宋体" w:cs="Tahoma"/>
          <w:szCs w:val="21"/>
          <w:highlight w:val="none"/>
        </w:rPr>
        <w:t>20</w:t>
      </w:r>
      <w:r>
        <w:rPr>
          <w:rFonts w:hint="eastAsia" w:ascii="宋体" w:hAnsi="宋体" w:cs="Tahoma"/>
          <w:szCs w:val="21"/>
          <w:highlight w:val="none"/>
        </w:rPr>
        <w:t>2</w:t>
      </w:r>
      <w:r>
        <w:rPr>
          <w:rFonts w:hint="eastAsia" w:ascii="宋体" w:hAnsi="宋体" w:cs="Tahoma"/>
          <w:szCs w:val="21"/>
          <w:highlight w:val="none"/>
          <w:lang w:val="en-US" w:eastAsia="zh-CN"/>
        </w:rPr>
        <w:t>4</w:t>
      </w:r>
      <w:r>
        <w:rPr>
          <w:rFonts w:ascii="宋体" w:hAnsi="宋体" w:cs="Tahoma"/>
          <w:szCs w:val="21"/>
          <w:highlight w:val="none"/>
        </w:rPr>
        <w:t>年</w:t>
      </w:r>
      <w:r>
        <w:rPr>
          <w:rFonts w:hint="eastAsia" w:ascii="宋体" w:hAnsi="宋体" w:cs="Tahoma"/>
          <w:szCs w:val="21"/>
          <w:highlight w:val="none"/>
          <w:lang w:val="en-US" w:eastAsia="zh-CN"/>
        </w:rPr>
        <w:t>11月8日9点30分</w:t>
      </w:r>
      <w:r>
        <w:rPr>
          <w:rFonts w:hint="eastAsia" w:ascii="宋体" w:hAnsi="宋体" w:cs="Tahoma"/>
          <w:szCs w:val="21"/>
          <w:highlight w:val="none"/>
        </w:rPr>
        <w:t>（北京时间）</w:t>
      </w:r>
    </w:p>
    <w:p w14:paraId="1534B97D">
      <w:pPr>
        <w:spacing w:line="360" w:lineRule="auto"/>
        <w:ind w:firstLine="420" w:firstLineChars="200"/>
        <w:rPr>
          <w:rFonts w:ascii="宋体"/>
          <w:bCs/>
          <w:highlight w:val="none"/>
        </w:rPr>
      </w:pPr>
      <w:r>
        <w:rPr>
          <w:rFonts w:hint="eastAsia" w:ascii="宋体" w:hAnsi="宋体" w:cs="Tahoma"/>
          <w:szCs w:val="21"/>
          <w:highlight w:val="none"/>
        </w:rPr>
        <w:t>3、</w:t>
      </w:r>
      <w:r>
        <w:rPr>
          <w:rFonts w:ascii="宋体" w:hAnsi="宋体"/>
          <w:szCs w:val="21"/>
          <w:highlight w:val="none"/>
        </w:rPr>
        <w:t>开标地点：</w:t>
      </w:r>
      <w:r>
        <w:rPr>
          <w:rFonts w:hint="eastAsia" w:ascii="宋体" w:hAnsi="Calibri" w:eastAsia="宋体" w:cs="Times New Roman"/>
          <w:bCs/>
          <w:highlight w:val="none"/>
        </w:rPr>
        <w:t>汕头市潮阳区文光街道西环城路38号（潮阳农商银行总行）</w:t>
      </w:r>
      <w:r>
        <w:rPr>
          <w:rFonts w:hint="eastAsia" w:ascii="宋体" w:hAnsi="Calibri" w:eastAsia="宋体" w:cs="Times New Roman"/>
          <w:bCs/>
          <w:highlight w:val="none"/>
          <w:lang w:val="en-US" w:eastAsia="zh-CN"/>
        </w:rPr>
        <w:t>8</w:t>
      </w:r>
      <w:r>
        <w:rPr>
          <w:rFonts w:hint="eastAsia" w:ascii="宋体" w:hAnsi="Calibri" w:eastAsia="宋体" w:cs="Times New Roman"/>
          <w:bCs/>
          <w:highlight w:val="none"/>
        </w:rPr>
        <w:t>楼会议室</w:t>
      </w:r>
      <w:r>
        <w:rPr>
          <w:rFonts w:hint="eastAsia" w:ascii="宋体" w:hAnsi="宋体"/>
          <w:bCs/>
          <w:highlight w:val="none"/>
        </w:rPr>
        <w:t>。</w:t>
      </w:r>
    </w:p>
    <w:p w14:paraId="1EC5818B">
      <w:pPr>
        <w:spacing w:line="360" w:lineRule="auto"/>
        <w:ind w:firstLine="420" w:firstLineChars="200"/>
        <w:rPr>
          <w:rFonts w:ascii="宋体" w:hAnsi="宋体" w:cs="Tahoma"/>
          <w:szCs w:val="21"/>
          <w:highlight w:val="none"/>
        </w:rPr>
      </w:pPr>
      <w:r>
        <w:rPr>
          <w:rFonts w:ascii="宋体" w:hAnsi="宋体" w:cs="Tahoma"/>
          <w:szCs w:val="21"/>
          <w:highlight w:val="none"/>
        </w:rPr>
        <w:t>若已购买</w:t>
      </w:r>
      <w:r>
        <w:rPr>
          <w:rFonts w:hint="eastAsia" w:ascii="宋体" w:hAnsi="宋体" w:cs="Tahoma"/>
          <w:szCs w:val="21"/>
          <w:highlight w:val="none"/>
        </w:rPr>
        <w:t>招标文件</w:t>
      </w:r>
      <w:r>
        <w:rPr>
          <w:rFonts w:ascii="宋体" w:hAnsi="宋体" w:cs="Tahoma"/>
          <w:szCs w:val="21"/>
          <w:highlight w:val="none"/>
        </w:rPr>
        <w:t>而决定不参加本项目报价的</w:t>
      </w:r>
      <w:r>
        <w:rPr>
          <w:rFonts w:hint="eastAsia" w:ascii="宋体" w:hAnsi="宋体"/>
          <w:szCs w:val="21"/>
          <w:highlight w:val="none"/>
        </w:rPr>
        <w:t>投标人</w:t>
      </w:r>
      <w:r>
        <w:rPr>
          <w:rFonts w:ascii="宋体" w:hAnsi="宋体" w:cs="Tahoma"/>
          <w:szCs w:val="21"/>
          <w:highlight w:val="none"/>
        </w:rPr>
        <w:t>，应在开标前</w:t>
      </w:r>
      <w:r>
        <w:rPr>
          <w:rFonts w:hint="eastAsia" w:ascii="宋体" w:hAnsi="宋体" w:cs="Tahoma"/>
          <w:szCs w:val="21"/>
          <w:highlight w:val="none"/>
        </w:rPr>
        <w:t>3</w:t>
      </w:r>
      <w:r>
        <w:rPr>
          <w:rFonts w:ascii="宋体" w:hAnsi="宋体" w:cs="Tahoma"/>
          <w:szCs w:val="21"/>
          <w:highlight w:val="none"/>
        </w:rPr>
        <w:t>日以书面形式（书面材料、信函</w:t>
      </w:r>
      <w:r>
        <w:rPr>
          <w:rFonts w:hint="eastAsia" w:ascii="宋体" w:hAnsi="宋体" w:cs="Tahoma"/>
          <w:szCs w:val="21"/>
          <w:highlight w:val="none"/>
        </w:rPr>
        <w:t>或</w:t>
      </w:r>
      <w:r>
        <w:rPr>
          <w:rFonts w:ascii="宋体" w:hAnsi="宋体" w:cs="Tahoma"/>
          <w:szCs w:val="21"/>
          <w:highlight w:val="none"/>
        </w:rPr>
        <w:t>传真加盖</w:t>
      </w:r>
      <w:r>
        <w:rPr>
          <w:rFonts w:hint="eastAsia" w:ascii="宋体" w:hAnsi="宋体"/>
          <w:szCs w:val="21"/>
          <w:highlight w:val="none"/>
        </w:rPr>
        <w:t>投标人</w:t>
      </w:r>
      <w:r>
        <w:rPr>
          <w:rFonts w:ascii="宋体" w:hAnsi="宋体" w:cs="Tahoma"/>
          <w:szCs w:val="21"/>
          <w:highlight w:val="none"/>
        </w:rPr>
        <w:t>公章）通知采购代理机构。</w:t>
      </w:r>
    </w:p>
    <w:p w14:paraId="139B1D78">
      <w:pPr>
        <w:tabs>
          <w:tab w:val="left" w:pos="709"/>
        </w:tabs>
        <w:autoSpaceDE/>
        <w:autoSpaceDN/>
        <w:snapToGrid w:val="0"/>
        <w:spacing w:line="360" w:lineRule="auto"/>
        <w:ind w:firstLine="422" w:firstLineChars="200"/>
        <w:jc w:val="both"/>
        <w:rPr>
          <w:rFonts w:hint="eastAsia" w:ascii="宋体" w:hAnsi="Calibri" w:eastAsia="宋体" w:cs="Times New Roman"/>
          <w:b/>
          <w:bCs w:val="0"/>
          <w:highlight w:val="none"/>
          <w:lang w:val="en-US" w:eastAsia="zh-CN"/>
        </w:rPr>
      </w:pPr>
      <w:r>
        <w:rPr>
          <w:rFonts w:hint="eastAsia" w:ascii="宋体" w:hAnsi="宋体" w:eastAsia="宋体" w:cs="宋体"/>
          <w:b/>
          <w:highlight w:val="none"/>
        </w:rPr>
        <w:t>注：本项目投标人无需到场，投标文件在上述投标文件截止时间前1-2天，可以用快递方式邮寄</w:t>
      </w:r>
      <w:r>
        <w:rPr>
          <w:rFonts w:hint="eastAsia" w:ascii="宋体" w:hAnsi="Calibri" w:eastAsia="宋体" w:cs="Times New Roman"/>
          <w:b/>
          <w:bCs w:val="0"/>
          <w:highlight w:val="none"/>
          <w:lang w:eastAsia="zh-CN"/>
        </w:rPr>
        <w:t>注：本项目投标人无需到场，投标文件在上述投标文件截止时间前</w:t>
      </w:r>
      <w:r>
        <w:rPr>
          <w:rFonts w:hint="eastAsia" w:ascii="宋体" w:hAnsi="Calibri" w:eastAsia="宋体" w:cs="Times New Roman"/>
          <w:b/>
          <w:bCs w:val="0"/>
          <w:highlight w:val="none"/>
          <w:lang w:val="en-US" w:eastAsia="zh-CN"/>
        </w:rPr>
        <w:t>1-2天，可以用快递方式邮寄到下述地址：</w:t>
      </w:r>
    </w:p>
    <w:p w14:paraId="552392C0">
      <w:pPr>
        <w:tabs>
          <w:tab w:val="left" w:pos="709"/>
        </w:tabs>
        <w:autoSpaceDE/>
        <w:autoSpaceDN/>
        <w:snapToGrid w:val="0"/>
        <w:spacing w:line="360" w:lineRule="auto"/>
        <w:jc w:val="both"/>
        <w:rPr>
          <w:rFonts w:hint="eastAsia" w:ascii="宋体" w:hAnsi="Calibri" w:eastAsia="宋体" w:cs="Times New Roman"/>
          <w:b/>
          <w:bCs w:val="0"/>
          <w:highlight w:val="none"/>
        </w:rPr>
      </w:pPr>
      <w:r>
        <w:rPr>
          <w:rFonts w:hint="eastAsia" w:ascii="宋体" w:hAnsi="Calibri" w:eastAsia="宋体" w:cs="Times New Roman"/>
          <w:b/>
          <w:bCs w:val="0"/>
          <w:highlight w:val="none"/>
          <w:lang w:val="en-US" w:eastAsia="zh-CN"/>
        </w:rPr>
        <w:t>地址：</w:t>
      </w:r>
      <w:r>
        <w:rPr>
          <w:rFonts w:hint="eastAsia" w:ascii="宋体" w:hAnsi="Calibri" w:eastAsia="宋体" w:cs="Times New Roman"/>
          <w:b/>
          <w:bCs w:val="0"/>
          <w:highlight w:val="none"/>
        </w:rPr>
        <w:t>汕头市潮阳区文光街道西环城路38号（潮阳农商银行总行）</w:t>
      </w:r>
    </w:p>
    <w:p w14:paraId="706CE3C3">
      <w:pPr>
        <w:tabs>
          <w:tab w:val="left" w:pos="709"/>
        </w:tabs>
        <w:autoSpaceDE/>
        <w:autoSpaceDN/>
        <w:snapToGrid w:val="0"/>
        <w:spacing w:line="360" w:lineRule="auto"/>
        <w:jc w:val="both"/>
        <w:rPr>
          <w:rFonts w:hint="eastAsia" w:ascii="宋体" w:hAnsi="Calibri" w:eastAsia="宋体" w:cs="Times New Roman"/>
          <w:b/>
          <w:bCs w:val="0"/>
          <w:highlight w:val="none"/>
          <w:lang w:val="en-US" w:eastAsia="zh-CN"/>
        </w:rPr>
      </w:pPr>
      <w:r>
        <w:rPr>
          <w:rFonts w:hint="eastAsia" w:ascii="宋体" w:hAnsi="Calibri" w:eastAsia="宋体" w:cs="Times New Roman"/>
          <w:b/>
          <w:bCs w:val="0"/>
          <w:highlight w:val="none"/>
          <w:lang w:eastAsia="zh-CN"/>
        </w:rPr>
        <w:t>收件人：</w:t>
      </w:r>
      <w:r>
        <w:rPr>
          <w:rFonts w:hint="eastAsia" w:ascii="宋体"/>
          <w:b/>
          <w:bCs w:val="0"/>
          <w:highlight w:val="none"/>
          <w:lang w:val="en-US" w:eastAsia="zh-CN"/>
        </w:rPr>
        <w:t>林小姐13650458167</w:t>
      </w:r>
    </w:p>
    <w:p w14:paraId="748FFD7D">
      <w:pPr>
        <w:spacing w:line="360" w:lineRule="auto"/>
        <w:rPr>
          <w:rFonts w:hint="eastAsia" w:ascii="宋体" w:hAnsi="宋体"/>
          <w:color w:val="auto"/>
          <w:szCs w:val="21"/>
          <w:highlight w:val="none"/>
        </w:rPr>
      </w:pPr>
      <w:r>
        <w:rPr>
          <w:rFonts w:hint="eastAsia" w:ascii="宋体" w:hAnsi="Calibri" w:eastAsia="宋体" w:cs="Times New Roman"/>
          <w:b w:val="0"/>
          <w:bCs/>
          <w:highlight w:val="none"/>
          <w:lang w:val="en-US" w:eastAsia="zh-CN"/>
        </w:rPr>
        <w:t>七、</w:t>
      </w:r>
      <w:r>
        <w:rPr>
          <w:rFonts w:hint="eastAsia" w:ascii="宋体" w:hAnsi="宋体"/>
          <w:color w:val="auto"/>
          <w:szCs w:val="21"/>
          <w:highlight w:val="none"/>
        </w:rPr>
        <w:t>本项目的所有相关公告会在中国</w:t>
      </w:r>
      <w:r>
        <w:rPr>
          <w:rFonts w:hint="eastAsia" w:ascii="宋体" w:hAnsi="宋体"/>
          <w:color w:val="auto"/>
          <w:szCs w:val="21"/>
          <w:highlight w:val="none"/>
          <w:lang w:eastAsia="zh-CN"/>
        </w:rPr>
        <w:t>采购与招标</w:t>
      </w:r>
      <w:r>
        <w:rPr>
          <w:rFonts w:hint="eastAsia" w:ascii="宋体" w:hAnsi="宋体"/>
          <w:color w:val="auto"/>
          <w:szCs w:val="21"/>
          <w:highlight w:val="none"/>
        </w:rPr>
        <w:t>网(http://www.chinabidding.com.cn)、广东群升招标代理有限公司网站（www.gdqunsheng.com）上公布，公布之日即视为有效送达之日，不再另行通知。</w:t>
      </w:r>
    </w:p>
    <w:p w14:paraId="325AF8EF">
      <w:pPr>
        <w:tabs>
          <w:tab w:val="left" w:pos="709"/>
        </w:tabs>
        <w:autoSpaceDE/>
        <w:autoSpaceDN/>
        <w:snapToGrid w:val="0"/>
        <w:spacing w:line="360" w:lineRule="auto"/>
        <w:jc w:val="both"/>
        <w:rPr>
          <w:rFonts w:ascii="仿宋_GB2312" w:hAnsi="宋体"/>
          <w:highlight w:val="none"/>
        </w:rPr>
      </w:pPr>
      <w:r>
        <w:rPr>
          <w:rFonts w:hint="eastAsia" w:ascii="仿宋_GB2312" w:hAnsi="宋体"/>
          <w:highlight w:val="none"/>
          <w:lang w:val="en-US" w:eastAsia="zh-CN"/>
        </w:rPr>
        <w:t>八</w:t>
      </w:r>
      <w:r>
        <w:rPr>
          <w:rFonts w:hint="eastAsia" w:ascii="仿宋_GB2312" w:hAnsi="宋体"/>
          <w:highlight w:val="none"/>
          <w:lang w:eastAsia="zh-CN"/>
        </w:rPr>
        <w:t>、开标</w:t>
      </w:r>
      <w:r>
        <w:rPr>
          <w:rFonts w:hint="eastAsia" w:ascii="仿宋_GB2312" w:hAnsi="宋体"/>
          <w:highlight w:val="none"/>
        </w:rPr>
        <w:t>时间：</w:t>
      </w:r>
      <w:r>
        <w:rPr>
          <w:rFonts w:ascii="宋体" w:hAnsi="宋体" w:cs="Tahoma"/>
          <w:szCs w:val="21"/>
          <w:highlight w:val="none"/>
        </w:rPr>
        <w:t>20</w:t>
      </w:r>
      <w:r>
        <w:rPr>
          <w:rFonts w:hint="eastAsia" w:ascii="宋体" w:hAnsi="宋体" w:cs="Tahoma"/>
          <w:szCs w:val="21"/>
          <w:highlight w:val="none"/>
        </w:rPr>
        <w:t>2</w:t>
      </w:r>
      <w:r>
        <w:rPr>
          <w:rFonts w:hint="eastAsia" w:ascii="宋体" w:hAnsi="宋体" w:cs="Tahoma"/>
          <w:szCs w:val="21"/>
          <w:highlight w:val="none"/>
          <w:lang w:val="en-US" w:eastAsia="zh-CN"/>
        </w:rPr>
        <w:t>4</w:t>
      </w:r>
      <w:r>
        <w:rPr>
          <w:rFonts w:ascii="宋体" w:hAnsi="宋体" w:cs="Tahoma"/>
          <w:szCs w:val="21"/>
          <w:highlight w:val="none"/>
        </w:rPr>
        <w:t>年</w:t>
      </w:r>
      <w:r>
        <w:rPr>
          <w:rFonts w:hint="eastAsia" w:ascii="宋体" w:hAnsi="宋体" w:cs="Tahoma"/>
          <w:szCs w:val="21"/>
          <w:highlight w:val="none"/>
          <w:lang w:val="en-US" w:eastAsia="zh-CN"/>
        </w:rPr>
        <w:t>11月8日9点30分</w:t>
      </w:r>
      <w:r>
        <w:rPr>
          <w:rFonts w:hint="eastAsia" w:ascii="宋体" w:hAnsi="宋体"/>
          <w:bCs/>
          <w:highlight w:val="none"/>
        </w:rPr>
        <w:t>。</w:t>
      </w:r>
    </w:p>
    <w:p w14:paraId="731861D1">
      <w:pPr>
        <w:numPr>
          <w:ilvl w:val="0"/>
          <w:numId w:val="0"/>
        </w:numPr>
        <w:tabs>
          <w:tab w:val="left" w:pos="284"/>
        </w:tabs>
        <w:autoSpaceDE/>
        <w:autoSpaceDN/>
        <w:snapToGrid w:val="0"/>
        <w:spacing w:line="360" w:lineRule="auto"/>
        <w:ind w:leftChars="0"/>
        <w:jc w:val="both"/>
        <w:rPr>
          <w:rFonts w:ascii="宋体"/>
          <w:bCs/>
          <w:highlight w:val="none"/>
        </w:rPr>
      </w:pPr>
      <w:r>
        <w:rPr>
          <w:rFonts w:hint="eastAsia" w:ascii="仿宋_GB2312" w:hAnsi="宋体"/>
          <w:highlight w:val="none"/>
          <w:lang w:val="en-US" w:eastAsia="zh-CN"/>
        </w:rPr>
        <w:t>九</w:t>
      </w:r>
      <w:r>
        <w:rPr>
          <w:rFonts w:hint="eastAsia" w:ascii="仿宋_GB2312" w:hAnsi="宋体"/>
          <w:highlight w:val="none"/>
          <w:lang w:eastAsia="zh-CN"/>
        </w:rPr>
        <w:t>、开标</w:t>
      </w:r>
      <w:r>
        <w:rPr>
          <w:rFonts w:hint="eastAsia" w:ascii="仿宋_GB2312" w:hAnsi="宋体"/>
          <w:highlight w:val="none"/>
        </w:rPr>
        <w:t>地点：</w:t>
      </w:r>
      <w:r>
        <w:rPr>
          <w:rFonts w:hint="eastAsia" w:ascii="宋体" w:hAnsi="Calibri" w:eastAsia="宋体" w:cs="Times New Roman"/>
          <w:bCs/>
          <w:highlight w:val="none"/>
        </w:rPr>
        <w:t>汕头市潮阳区文光街道西环城路38号（潮阳农商银行总行）</w:t>
      </w:r>
      <w:r>
        <w:rPr>
          <w:rFonts w:hint="eastAsia" w:ascii="宋体" w:hAnsi="Calibri" w:eastAsia="宋体" w:cs="Times New Roman"/>
          <w:bCs/>
          <w:highlight w:val="none"/>
          <w:lang w:val="en-US" w:eastAsia="zh-CN"/>
        </w:rPr>
        <w:t>8</w:t>
      </w:r>
      <w:r>
        <w:rPr>
          <w:rFonts w:hint="eastAsia" w:ascii="宋体" w:hAnsi="Calibri" w:eastAsia="宋体" w:cs="Times New Roman"/>
          <w:bCs/>
          <w:highlight w:val="none"/>
        </w:rPr>
        <w:t>楼会议室</w:t>
      </w:r>
      <w:r>
        <w:rPr>
          <w:rFonts w:hint="eastAsia" w:ascii="宋体" w:hAnsi="宋体"/>
          <w:bCs/>
          <w:highlight w:val="none"/>
        </w:rPr>
        <w:t>。</w:t>
      </w:r>
    </w:p>
    <w:p w14:paraId="1B450BB8">
      <w:pPr>
        <w:numPr>
          <w:ilvl w:val="0"/>
          <w:numId w:val="0"/>
        </w:numPr>
        <w:tabs>
          <w:tab w:val="left" w:pos="284"/>
        </w:tabs>
        <w:autoSpaceDE/>
        <w:autoSpaceDN/>
        <w:snapToGrid w:val="0"/>
        <w:spacing w:line="360" w:lineRule="auto"/>
        <w:ind w:leftChars="0"/>
        <w:jc w:val="both"/>
        <w:rPr>
          <w:rFonts w:ascii="宋体"/>
          <w:bCs/>
          <w:highlight w:val="none"/>
        </w:rPr>
      </w:pPr>
      <w:r>
        <w:rPr>
          <w:rFonts w:hint="eastAsia" w:ascii="宋体"/>
          <w:bCs/>
          <w:highlight w:val="none"/>
          <w:lang w:eastAsia="zh-CN"/>
        </w:rPr>
        <w:t>十、</w:t>
      </w:r>
      <w:r>
        <w:rPr>
          <w:rFonts w:hint="eastAsia" w:ascii="宋体"/>
          <w:bCs/>
          <w:highlight w:val="none"/>
        </w:rPr>
        <w:t>联系事项</w:t>
      </w:r>
    </w:p>
    <w:p w14:paraId="391016C1">
      <w:pPr>
        <w:tabs>
          <w:tab w:val="left" w:pos="709"/>
        </w:tabs>
        <w:autoSpaceDE/>
        <w:autoSpaceDN/>
        <w:snapToGrid w:val="0"/>
        <w:spacing w:line="360" w:lineRule="auto"/>
        <w:jc w:val="both"/>
        <w:rPr>
          <w:rFonts w:ascii="宋体"/>
          <w:bCs/>
          <w:highlight w:val="none"/>
        </w:rPr>
      </w:pPr>
      <w:r>
        <w:rPr>
          <w:rFonts w:hint="eastAsia" w:ascii="宋体"/>
          <w:bCs/>
          <w:highlight w:val="none"/>
        </w:rPr>
        <w:t>1、采购人联系方式</w:t>
      </w:r>
    </w:p>
    <w:p w14:paraId="35141505">
      <w:pPr>
        <w:tabs>
          <w:tab w:val="left" w:pos="709"/>
        </w:tabs>
        <w:autoSpaceDE/>
        <w:autoSpaceDN/>
        <w:snapToGrid w:val="0"/>
        <w:spacing w:line="360" w:lineRule="auto"/>
        <w:jc w:val="both"/>
        <w:rPr>
          <w:rFonts w:hint="eastAsia" w:ascii="宋体" w:eastAsia="宋体"/>
          <w:bCs/>
          <w:highlight w:val="none"/>
          <w:lang w:eastAsia="zh-CN"/>
        </w:rPr>
      </w:pPr>
      <w:r>
        <w:rPr>
          <w:rFonts w:hint="eastAsia" w:ascii="宋体"/>
          <w:bCs/>
          <w:highlight w:val="none"/>
        </w:rPr>
        <w:t>采购人名称：</w:t>
      </w:r>
      <w:r>
        <w:rPr>
          <w:rFonts w:hint="eastAsia" w:ascii="宋体"/>
          <w:bCs/>
          <w:highlight w:val="none"/>
          <w:lang w:eastAsia="zh-CN"/>
        </w:rPr>
        <w:t>广东潮阳农村商业银行股份有限公司</w:t>
      </w:r>
    </w:p>
    <w:p w14:paraId="2CA9DBDA">
      <w:pPr>
        <w:tabs>
          <w:tab w:val="left" w:pos="709"/>
        </w:tabs>
        <w:autoSpaceDE/>
        <w:autoSpaceDN/>
        <w:snapToGrid w:val="0"/>
        <w:spacing w:line="360" w:lineRule="auto"/>
        <w:jc w:val="both"/>
        <w:rPr>
          <w:rFonts w:hint="eastAsia" w:ascii="宋体" w:eastAsia="宋体"/>
          <w:bCs/>
          <w:highlight w:val="none"/>
          <w:lang w:eastAsia="zh-CN"/>
        </w:rPr>
      </w:pPr>
      <w:r>
        <w:rPr>
          <w:rFonts w:hint="eastAsia" w:ascii="宋体"/>
          <w:bCs/>
          <w:highlight w:val="none"/>
        </w:rPr>
        <w:t>采购人地址：</w:t>
      </w:r>
      <w:r>
        <w:rPr>
          <w:rFonts w:hint="eastAsia" w:ascii="宋体" w:hAnsi="Calibri" w:eastAsia="宋体" w:cs="Times New Roman"/>
          <w:bCs/>
          <w:highlight w:val="none"/>
        </w:rPr>
        <w:t>汕头市潮阳区文光街道西环城路38号</w:t>
      </w:r>
      <w:bookmarkStart w:id="1192" w:name="_GoBack"/>
      <w:bookmarkEnd w:id="1192"/>
    </w:p>
    <w:p w14:paraId="29BA0F3E">
      <w:pPr>
        <w:tabs>
          <w:tab w:val="left" w:pos="709"/>
        </w:tabs>
        <w:autoSpaceDE/>
        <w:autoSpaceDN/>
        <w:snapToGrid w:val="0"/>
        <w:spacing w:line="360" w:lineRule="auto"/>
        <w:jc w:val="both"/>
        <w:rPr>
          <w:rFonts w:ascii="宋体"/>
          <w:bCs/>
          <w:highlight w:val="none"/>
        </w:rPr>
      </w:pPr>
      <w:r>
        <w:rPr>
          <w:rFonts w:hint="eastAsia" w:ascii="宋体"/>
          <w:bCs/>
          <w:highlight w:val="none"/>
        </w:rPr>
        <w:t>采购人联系人：</w:t>
      </w:r>
      <w:r>
        <w:rPr>
          <w:rFonts w:hint="eastAsia" w:ascii="宋体"/>
          <w:bCs/>
          <w:highlight w:val="none"/>
          <w:lang w:eastAsia="zh-CN"/>
        </w:rPr>
        <w:t>莫经理</w:t>
      </w:r>
    </w:p>
    <w:p w14:paraId="1B201749">
      <w:pPr>
        <w:tabs>
          <w:tab w:val="left" w:pos="709"/>
        </w:tabs>
        <w:autoSpaceDE/>
        <w:autoSpaceDN/>
        <w:snapToGrid w:val="0"/>
        <w:spacing w:line="360" w:lineRule="auto"/>
        <w:jc w:val="both"/>
        <w:rPr>
          <w:rFonts w:hint="default" w:ascii="宋体" w:eastAsia="宋体"/>
          <w:bCs/>
          <w:highlight w:val="none"/>
          <w:lang w:val="en-US" w:eastAsia="zh-CN"/>
        </w:rPr>
      </w:pPr>
      <w:r>
        <w:rPr>
          <w:rFonts w:hint="eastAsia" w:ascii="宋体"/>
          <w:bCs/>
          <w:highlight w:val="none"/>
        </w:rPr>
        <w:t>采购人联系电话：</w:t>
      </w:r>
      <w:r>
        <w:rPr>
          <w:rFonts w:hint="eastAsia" w:ascii="宋体"/>
          <w:bCs/>
          <w:highlight w:val="none"/>
          <w:lang w:val="en-US" w:eastAsia="zh-CN"/>
        </w:rPr>
        <w:t>13790563048</w:t>
      </w:r>
    </w:p>
    <w:p w14:paraId="610DAFF0">
      <w:pPr>
        <w:tabs>
          <w:tab w:val="left" w:pos="709"/>
        </w:tabs>
        <w:autoSpaceDE/>
        <w:autoSpaceDN/>
        <w:snapToGrid w:val="0"/>
        <w:spacing w:line="360" w:lineRule="auto"/>
        <w:jc w:val="both"/>
        <w:rPr>
          <w:rFonts w:ascii="宋体"/>
          <w:bCs/>
          <w:highlight w:val="none"/>
        </w:rPr>
      </w:pPr>
      <w:r>
        <w:rPr>
          <w:rFonts w:hint="eastAsia" w:ascii="宋体"/>
          <w:bCs/>
          <w:highlight w:val="none"/>
        </w:rPr>
        <w:t>2、采购代理机构联系方式</w:t>
      </w:r>
    </w:p>
    <w:p w14:paraId="7201AAC6">
      <w:pPr>
        <w:tabs>
          <w:tab w:val="left" w:pos="709"/>
        </w:tabs>
        <w:autoSpaceDE/>
        <w:autoSpaceDN/>
        <w:snapToGrid w:val="0"/>
        <w:spacing w:line="360" w:lineRule="auto"/>
        <w:jc w:val="both"/>
        <w:rPr>
          <w:rFonts w:hint="eastAsia" w:ascii="宋体" w:eastAsia="宋体"/>
          <w:bCs/>
          <w:highlight w:val="none"/>
          <w:lang w:eastAsia="zh-CN"/>
        </w:rPr>
      </w:pPr>
      <w:r>
        <w:rPr>
          <w:rFonts w:hint="eastAsia" w:ascii="宋体"/>
          <w:bCs/>
          <w:highlight w:val="none"/>
        </w:rPr>
        <w:t>采购代理机构名称：</w:t>
      </w:r>
      <w:r>
        <w:rPr>
          <w:rFonts w:hint="eastAsia" w:ascii="宋体"/>
          <w:bCs/>
          <w:highlight w:val="none"/>
          <w:lang w:eastAsia="zh-CN"/>
        </w:rPr>
        <w:t>广东群升招标代理有限公司</w:t>
      </w:r>
    </w:p>
    <w:p w14:paraId="0E5FF779">
      <w:pPr>
        <w:tabs>
          <w:tab w:val="left" w:pos="709"/>
        </w:tabs>
        <w:autoSpaceDE/>
        <w:autoSpaceDN/>
        <w:snapToGrid w:val="0"/>
        <w:spacing w:line="360" w:lineRule="auto"/>
        <w:jc w:val="both"/>
        <w:rPr>
          <w:rFonts w:ascii="宋体"/>
          <w:bCs/>
          <w:highlight w:val="none"/>
        </w:rPr>
      </w:pPr>
      <w:r>
        <w:rPr>
          <w:rFonts w:hint="eastAsia" w:ascii="宋体"/>
          <w:bCs/>
          <w:highlight w:val="none"/>
        </w:rPr>
        <w:t>采购代理机构地址：汕头市龙湖区衡山路锦龙商业大厦10楼1001-1002单位</w:t>
      </w:r>
    </w:p>
    <w:p w14:paraId="41EB8E66">
      <w:pPr>
        <w:tabs>
          <w:tab w:val="left" w:pos="709"/>
        </w:tabs>
        <w:autoSpaceDE/>
        <w:autoSpaceDN/>
        <w:snapToGrid w:val="0"/>
        <w:spacing w:line="360" w:lineRule="auto"/>
        <w:jc w:val="both"/>
        <w:rPr>
          <w:rFonts w:ascii="宋体"/>
          <w:bCs/>
          <w:highlight w:val="none"/>
        </w:rPr>
      </w:pPr>
      <w:r>
        <w:rPr>
          <w:rFonts w:hint="eastAsia" w:ascii="宋体"/>
          <w:bCs/>
          <w:highlight w:val="none"/>
        </w:rPr>
        <w:t>采购代理机构联系人：</w:t>
      </w:r>
      <w:r>
        <w:rPr>
          <w:rFonts w:hint="eastAsia" w:ascii="宋体"/>
          <w:bCs/>
          <w:highlight w:val="none"/>
          <w:lang w:val="en-US" w:eastAsia="zh-CN"/>
        </w:rPr>
        <w:t>许</w:t>
      </w:r>
      <w:r>
        <w:rPr>
          <w:rFonts w:hint="eastAsia" w:ascii="宋体"/>
          <w:bCs/>
          <w:highlight w:val="none"/>
        </w:rPr>
        <w:t>小姐</w:t>
      </w:r>
    </w:p>
    <w:p w14:paraId="592376CC">
      <w:pPr>
        <w:tabs>
          <w:tab w:val="left" w:pos="709"/>
        </w:tabs>
        <w:autoSpaceDE/>
        <w:autoSpaceDN/>
        <w:snapToGrid w:val="0"/>
        <w:spacing w:line="360" w:lineRule="auto"/>
        <w:jc w:val="both"/>
        <w:rPr>
          <w:rFonts w:hint="default" w:ascii="宋体" w:eastAsia="宋体"/>
          <w:bCs/>
          <w:highlight w:val="none"/>
          <w:lang w:val="en-US" w:eastAsia="zh-CN"/>
        </w:rPr>
      </w:pPr>
      <w:r>
        <w:rPr>
          <w:rFonts w:hint="eastAsia" w:ascii="宋体"/>
          <w:bCs/>
          <w:highlight w:val="none"/>
        </w:rPr>
        <w:t>采购代理机构联系电话：</w:t>
      </w:r>
      <w:r>
        <w:rPr>
          <w:rFonts w:hint="eastAsia" w:ascii="宋体"/>
          <w:bCs/>
          <w:highlight w:val="none"/>
          <w:lang w:val="en-US" w:eastAsia="zh-CN"/>
        </w:rPr>
        <w:t>0754-88896000</w:t>
      </w:r>
      <w:r>
        <w:rPr>
          <w:rFonts w:hint="eastAsia" w:ascii="宋体"/>
          <w:bCs/>
          <w:highlight w:val="none"/>
          <w:lang w:eastAsia="zh-CN"/>
        </w:rPr>
        <w:t>、</w:t>
      </w:r>
      <w:r>
        <w:rPr>
          <w:rFonts w:hint="eastAsia" w:ascii="宋体"/>
          <w:bCs/>
          <w:highlight w:val="none"/>
          <w:lang w:val="en-US" w:eastAsia="zh-CN"/>
        </w:rPr>
        <w:t>13265641952</w:t>
      </w:r>
    </w:p>
    <w:p w14:paraId="74C0EB4E">
      <w:pPr>
        <w:spacing w:line="360" w:lineRule="auto"/>
        <w:ind w:right="420"/>
        <w:jc w:val="both"/>
        <w:rPr>
          <w:rFonts w:hint="default" w:ascii="宋体" w:eastAsia="宋体"/>
          <w:bCs/>
          <w:highlight w:val="none"/>
          <w:lang w:val="en-US" w:eastAsia="zh-CN"/>
        </w:rPr>
      </w:pPr>
      <w:r>
        <w:rPr>
          <w:rFonts w:hint="eastAsia" w:ascii="宋体"/>
          <w:bCs/>
          <w:highlight w:val="none"/>
        </w:rPr>
        <w:t>采购代理机构传真：</w:t>
      </w:r>
      <w:r>
        <w:rPr>
          <w:rFonts w:hint="eastAsia" w:ascii="宋体"/>
          <w:bCs/>
          <w:highlight w:val="none"/>
          <w:lang w:val="en-US" w:eastAsia="zh-CN"/>
        </w:rPr>
        <w:t>0754-88896000</w:t>
      </w:r>
    </w:p>
    <w:p w14:paraId="2BD2271E">
      <w:pPr>
        <w:spacing w:line="360" w:lineRule="auto"/>
        <w:ind w:right="420"/>
        <w:jc w:val="right"/>
        <w:rPr>
          <w:rFonts w:ascii="宋体" w:hAnsi="宋体" w:cs="宋体"/>
          <w:szCs w:val="21"/>
          <w:highlight w:val="none"/>
        </w:rPr>
      </w:pPr>
      <w:r>
        <w:rPr>
          <w:rFonts w:hint="eastAsia" w:ascii="宋体" w:hAnsi="宋体" w:cs="宋体"/>
          <w:szCs w:val="21"/>
          <w:highlight w:val="none"/>
        </w:rPr>
        <w:t>广东群升招标代理有限公司</w:t>
      </w:r>
    </w:p>
    <w:p w14:paraId="5B804E2B">
      <w:pPr>
        <w:spacing w:line="360" w:lineRule="auto"/>
        <w:ind w:right="420"/>
        <w:jc w:val="right"/>
        <w:rPr>
          <w:rFonts w:ascii="宋体" w:hAnsi="宋体" w:cs="Tahoma"/>
          <w:color w:val="000000"/>
          <w:szCs w:val="21"/>
          <w:highlight w:val="none"/>
        </w:rPr>
      </w:pPr>
      <w:r>
        <w:rPr>
          <w:rFonts w:hint="eastAsia" w:ascii="宋体" w:hAnsi="宋体" w:cs="宋体"/>
          <w:szCs w:val="21"/>
          <w:highlight w:val="none"/>
        </w:rPr>
        <w:t>202</w:t>
      </w:r>
      <w:r>
        <w:rPr>
          <w:rFonts w:hint="eastAsia" w:ascii="宋体" w:hAnsi="宋体" w:cs="宋体"/>
          <w:szCs w:val="21"/>
          <w:highlight w:val="none"/>
          <w:lang w:val="en-US" w:eastAsia="zh-CN"/>
        </w:rPr>
        <w:t>4</w:t>
      </w:r>
      <w:r>
        <w:rPr>
          <w:rFonts w:hint="eastAsia" w:ascii="宋体" w:hAnsi="宋体" w:cs="宋体"/>
          <w:szCs w:val="21"/>
          <w:highlight w:val="none"/>
        </w:rPr>
        <w:t>年</w:t>
      </w:r>
      <w:r>
        <w:rPr>
          <w:rFonts w:hint="eastAsia" w:ascii="宋体" w:hAnsi="宋体" w:cs="宋体"/>
          <w:szCs w:val="21"/>
          <w:highlight w:val="none"/>
          <w:lang w:val="en-US" w:eastAsia="zh-CN"/>
        </w:rPr>
        <w:t>10</w:t>
      </w:r>
      <w:r>
        <w:rPr>
          <w:rFonts w:hint="eastAsia" w:ascii="宋体" w:hAnsi="宋体" w:cs="宋体"/>
          <w:szCs w:val="21"/>
          <w:highlight w:val="none"/>
        </w:rPr>
        <w:t>月</w:t>
      </w:r>
      <w:r>
        <w:rPr>
          <w:rFonts w:hint="eastAsia" w:ascii="宋体" w:hAnsi="宋体" w:cs="宋体"/>
          <w:szCs w:val="21"/>
          <w:highlight w:val="none"/>
          <w:lang w:val="en-US" w:eastAsia="zh-CN"/>
        </w:rPr>
        <w:t>18</w:t>
      </w:r>
      <w:r>
        <w:rPr>
          <w:rFonts w:hint="eastAsia" w:ascii="宋体" w:hAnsi="宋体" w:cs="宋体"/>
          <w:szCs w:val="21"/>
          <w:highlight w:val="none"/>
        </w:rPr>
        <w:t>日</w:t>
      </w:r>
    </w:p>
    <w:p w14:paraId="1826ABB5">
      <w:pPr>
        <w:spacing w:line="360" w:lineRule="auto"/>
        <w:ind w:right="420"/>
        <w:jc w:val="right"/>
        <w:rPr>
          <w:rFonts w:ascii="宋体" w:hAnsi="宋体" w:cs="Tahoma"/>
          <w:color w:val="000000"/>
          <w:szCs w:val="21"/>
          <w:highlight w:val="none"/>
        </w:rPr>
      </w:pPr>
    </w:p>
    <w:p w14:paraId="1084B8D5">
      <w:pPr>
        <w:spacing w:line="360" w:lineRule="auto"/>
        <w:ind w:right="420"/>
        <w:jc w:val="center"/>
        <w:rPr>
          <w:rFonts w:ascii="宋体" w:hAnsi="宋体" w:cs="Tahoma"/>
          <w:color w:val="000000"/>
          <w:szCs w:val="21"/>
          <w:highlight w:val="none"/>
        </w:rPr>
      </w:pPr>
    </w:p>
    <w:p w14:paraId="12A40551">
      <w:pPr>
        <w:spacing w:line="360" w:lineRule="auto"/>
        <w:ind w:right="420"/>
        <w:jc w:val="both"/>
        <w:rPr>
          <w:rFonts w:ascii="宋体" w:hAnsi="宋体" w:cs="Tahoma"/>
          <w:color w:val="000000"/>
          <w:szCs w:val="21"/>
          <w:highlight w:val="none"/>
        </w:rPr>
      </w:pPr>
    </w:p>
    <w:bookmarkEnd w:id="3"/>
    <w:bookmarkEnd w:id="4"/>
    <w:bookmarkEnd w:id="5"/>
    <w:bookmarkEnd w:id="6"/>
    <w:p w14:paraId="08660251">
      <w:pPr>
        <w:rPr>
          <w:color w:val="000000"/>
          <w:highlight w:val="none"/>
        </w:rPr>
      </w:pPr>
      <w:bookmarkStart w:id="7" w:name="_Toc14450813"/>
      <w:bookmarkStart w:id="8" w:name="_Toc30476633"/>
      <w:bookmarkStart w:id="9" w:name="_Toc238274995"/>
      <w:bookmarkStart w:id="10" w:name="_Toc17252682"/>
    </w:p>
    <w:p w14:paraId="77680F33">
      <w:pPr>
        <w:pStyle w:val="3"/>
        <w:keepLines w:val="0"/>
        <w:spacing w:before="0" w:after="0" w:line="360" w:lineRule="auto"/>
        <w:ind w:left="240" w:right="-441" w:rightChars="-210"/>
        <w:jc w:val="center"/>
        <w:rPr>
          <w:color w:val="000000"/>
          <w:kern w:val="2"/>
          <w:highlight w:val="none"/>
        </w:rPr>
      </w:pPr>
      <w:bookmarkStart w:id="11" w:name="_Toc8582"/>
      <w:r>
        <w:rPr>
          <w:rFonts w:hint="eastAsia"/>
          <w:color w:val="000000"/>
          <w:kern w:val="2"/>
          <w:highlight w:val="none"/>
        </w:rPr>
        <w:t>第一章 投标人须知</w:t>
      </w:r>
      <w:bookmarkEnd w:id="11"/>
    </w:p>
    <w:p w14:paraId="527EF74E">
      <w:pPr>
        <w:pStyle w:val="6"/>
        <w:numPr>
          <w:ilvl w:val="0"/>
          <w:numId w:val="3"/>
        </w:numPr>
        <w:spacing w:line="400" w:lineRule="exact"/>
        <w:rPr>
          <w:bCs w:val="0"/>
          <w:color w:val="000000"/>
          <w:sz w:val="21"/>
          <w:szCs w:val="21"/>
          <w:highlight w:val="none"/>
        </w:rPr>
      </w:pPr>
      <w:bookmarkStart w:id="12" w:name="_Toc224435714"/>
      <w:bookmarkStart w:id="13" w:name="_Toc223939092"/>
      <w:bookmarkStart w:id="14" w:name="_Toc185747578"/>
      <w:bookmarkStart w:id="15" w:name="_Toc225565941"/>
      <w:bookmarkStart w:id="16" w:name="_Toc228644966"/>
      <w:bookmarkStart w:id="17" w:name="_Toc49082409"/>
      <w:bookmarkStart w:id="18" w:name="_Toc334795446"/>
      <w:bookmarkStart w:id="19" w:name="_Toc228899495"/>
      <w:bookmarkStart w:id="20" w:name="_Toc49135195"/>
      <w:bookmarkStart w:id="21" w:name="_Toc238282329"/>
      <w:r>
        <w:rPr>
          <w:rFonts w:hint="eastAsia"/>
          <w:bCs w:val="0"/>
          <w:color w:val="000000"/>
          <w:sz w:val="21"/>
          <w:szCs w:val="21"/>
          <w:highlight w:val="none"/>
        </w:rPr>
        <w:t>总体说明</w:t>
      </w:r>
      <w:bookmarkEnd w:id="12"/>
      <w:bookmarkEnd w:id="13"/>
      <w:bookmarkEnd w:id="14"/>
      <w:bookmarkEnd w:id="15"/>
      <w:bookmarkEnd w:id="16"/>
      <w:bookmarkEnd w:id="17"/>
      <w:bookmarkEnd w:id="18"/>
      <w:bookmarkEnd w:id="19"/>
      <w:bookmarkEnd w:id="20"/>
      <w:bookmarkEnd w:id="21"/>
    </w:p>
    <w:p w14:paraId="69F1CA5E">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采购项目说明</w:t>
      </w:r>
    </w:p>
    <w:p w14:paraId="71F735BD">
      <w:pPr>
        <w:spacing w:line="360" w:lineRule="auto"/>
        <w:rPr>
          <w:rFonts w:ascii="宋体" w:hAnsi="宋体"/>
          <w:color w:val="000000"/>
          <w:szCs w:val="21"/>
          <w:highlight w:val="none"/>
        </w:rPr>
      </w:pPr>
      <w:r>
        <w:rPr>
          <w:rFonts w:hint="eastAsia" w:ascii="宋体" w:hAnsi="宋体"/>
          <w:color w:val="000000"/>
          <w:szCs w:val="21"/>
          <w:highlight w:val="none"/>
        </w:rPr>
        <w:t>1.1.1.资金来源：自有资金。</w:t>
      </w:r>
    </w:p>
    <w:p w14:paraId="390B3185">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关于投标报价</w:t>
      </w:r>
    </w:p>
    <w:p w14:paraId="128CDD69">
      <w:pPr>
        <w:pStyle w:val="6"/>
        <w:keepNext w:val="0"/>
        <w:spacing w:line="360" w:lineRule="auto"/>
        <w:ind w:left="630" w:hanging="630" w:hangingChars="300"/>
        <w:rPr>
          <w:rFonts w:hAnsi="宋体"/>
          <w:b w:val="0"/>
          <w:bCs w:val="0"/>
          <w:color w:val="000000"/>
          <w:sz w:val="21"/>
          <w:szCs w:val="21"/>
          <w:highlight w:val="none"/>
        </w:rPr>
      </w:pPr>
      <w:bookmarkStart w:id="22" w:name="_Toc225565942"/>
      <w:bookmarkStart w:id="23" w:name="_Toc228644967"/>
      <w:bookmarkStart w:id="24" w:name="_Toc224435715"/>
      <w:bookmarkStart w:id="25" w:name="_Toc238282330"/>
      <w:bookmarkStart w:id="26" w:name="_Toc334795447"/>
      <w:bookmarkStart w:id="27" w:name="_Toc228899496"/>
      <w:r>
        <w:rPr>
          <w:rFonts w:hint="eastAsia" w:hAnsi="宋体"/>
          <w:b w:val="0"/>
          <w:bCs w:val="0"/>
          <w:color w:val="000000"/>
          <w:sz w:val="21"/>
          <w:szCs w:val="21"/>
          <w:highlight w:val="none"/>
        </w:rPr>
        <w:t>1.2.1.投标人应根据招标文件中用户需求书的要求，对照投标报价表格式规定的填报内容进行逐项报价。</w:t>
      </w:r>
      <w:bookmarkEnd w:id="22"/>
      <w:bookmarkEnd w:id="23"/>
      <w:bookmarkEnd w:id="24"/>
      <w:bookmarkEnd w:id="25"/>
      <w:bookmarkEnd w:id="26"/>
      <w:bookmarkEnd w:id="27"/>
    </w:p>
    <w:p w14:paraId="6BDE4AE5">
      <w:pPr>
        <w:pStyle w:val="6"/>
        <w:keepNext w:val="0"/>
        <w:spacing w:line="360" w:lineRule="auto"/>
        <w:ind w:left="630" w:hanging="630" w:hangingChars="300"/>
        <w:rPr>
          <w:rFonts w:hAnsi="宋体"/>
          <w:b w:val="0"/>
          <w:bCs w:val="0"/>
          <w:color w:val="000000"/>
          <w:sz w:val="21"/>
          <w:szCs w:val="21"/>
          <w:highlight w:val="none"/>
        </w:rPr>
      </w:pPr>
      <w:bookmarkStart w:id="28" w:name="_Toc225565943"/>
      <w:bookmarkStart w:id="29" w:name="_Toc228899497"/>
      <w:bookmarkStart w:id="30" w:name="_Toc228644968"/>
      <w:bookmarkStart w:id="31" w:name="_Toc238282331"/>
      <w:bookmarkStart w:id="32" w:name="_Toc224435716"/>
      <w:bookmarkStart w:id="33" w:name="_Toc334795448"/>
      <w:r>
        <w:rPr>
          <w:rFonts w:hint="eastAsia" w:hAnsi="宋体"/>
          <w:b w:val="0"/>
          <w:bCs w:val="0"/>
          <w:color w:val="000000"/>
          <w:sz w:val="21"/>
          <w:szCs w:val="21"/>
          <w:highlight w:val="none"/>
        </w:rPr>
        <w:t>1.2.2.</w:t>
      </w:r>
      <w:bookmarkEnd w:id="28"/>
      <w:bookmarkEnd w:id="29"/>
      <w:bookmarkEnd w:id="30"/>
      <w:bookmarkEnd w:id="31"/>
      <w:bookmarkEnd w:id="32"/>
      <w:r>
        <w:rPr>
          <w:rFonts w:hint="eastAsia" w:hAnsi="宋体"/>
          <w:b w:val="0"/>
          <w:bCs w:val="0"/>
          <w:color w:val="000000"/>
          <w:sz w:val="21"/>
          <w:szCs w:val="21"/>
          <w:highlight w:val="none"/>
        </w:rPr>
        <w:t>除非招标文件另有规定，投标价不是唯一的或不是固定不变的投标文件将被作为非响应性投标而予以拒绝。投标人所报的投标价在投标有效期及合同执行期间是固定不变的，投标人不得以任何理由予以变更。</w:t>
      </w:r>
      <w:bookmarkEnd w:id="33"/>
    </w:p>
    <w:p w14:paraId="67D0A268">
      <w:pPr>
        <w:numPr>
          <w:ilvl w:val="1"/>
          <w:numId w:val="3"/>
        </w:numPr>
        <w:spacing w:line="360" w:lineRule="auto"/>
        <w:outlineLvl w:val="3"/>
        <w:rPr>
          <w:rFonts w:ascii="宋体" w:hAnsi="宋体"/>
          <w:color w:val="000000"/>
          <w:szCs w:val="21"/>
          <w:highlight w:val="none"/>
        </w:rPr>
      </w:pPr>
      <w:r>
        <w:rPr>
          <w:rFonts w:hint="eastAsia" w:ascii="宋体" w:hAnsi="宋体"/>
          <w:b/>
          <w:bCs/>
          <w:color w:val="000000"/>
          <w:szCs w:val="21"/>
          <w:highlight w:val="none"/>
        </w:rPr>
        <w:t>适用范围</w:t>
      </w:r>
    </w:p>
    <w:p w14:paraId="0554AE24">
      <w:pPr>
        <w:spacing w:line="360" w:lineRule="auto"/>
        <w:ind w:left="718" w:leftChars="342"/>
        <w:rPr>
          <w:rFonts w:ascii="宋体" w:hAnsi="宋体"/>
          <w:color w:val="000000"/>
          <w:szCs w:val="21"/>
          <w:highlight w:val="none"/>
        </w:rPr>
      </w:pPr>
      <w:r>
        <w:rPr>
          <w:rFonts w:hint="eastAsia" w:ascii="宋体" w:hAnsi="宋体"/>
          <w:color w:val="000000"/>
          <w:szCs w:val="21"/>
          <w:highlight w:val="none"/>
        </w:rPr>
        <w:t>本招标文件仅适用于本招标文件投标邀请中所叙述的招标内容。</w:t>
      </w:r>
    </w:p>
    <w:p w14:paraId="64C7C319">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评审方式</w:t>
      </w:r>
    </w:p>
    <w:p w14:paraId="4406D72B">
      <w:pPr>
        <w:spacing w:line="360" w:lineRule="auto"/>
        <w:ind w:left="718" w:leftChars="342"/>
        <w:rPr>
          <w:rFonts w:ascii="宋体" w:hAnsi="宋体"/>
          <w:color w:val="000000"/>
          <w:szCs w:val="21"/>
          <w:highlight w:val="none"/>
        </w:rPr>
      </w:pPr>
      <w:r>
        <w:rPr>
          <w:rFonts w:hint="eastAsia" w:ascii="宋体" w:hAnsi="宋体"/>
          <w:color w:val="000000"/>
          <w:szCs w:val="21"/>
          <w:highlight w:val="none"/>
        </w:rPr>
        <w:t>综合评分法</w:t>
      </w:r>
    </w:p>
    <w:p w14:paraId="56F573EB">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合格的投标人</w:t>
      </w:r>
    </w:p>
    <w:p w14:paraId="175F5BF7">
      <w:pPr>
        <w:tabs>
          <w:tab w:val="left" w:pos="1164"/>
        </w:tabs>
        <w:spacing w:line="360" w:lineRule="auto"/>
        <w:rPr>
          <w:rFonts w:ascii="宋体" w:hAnsi="宋体"/>
          <w:color w:val="000000"/>
          <w:szCs w:val="21"/>
          <w:highlight w:val="none"/>
        </w:rPr>
      </w:pPr>
      <w:r>
        <w:rPr>
          <w:rFonts w:hint="eastAsia" w:ascii="宋体" w:hAnsi="宋体"/>
          <w:color w:val="000000"/>
          <w:szCs w:val="21"/>
          <w:highlight w:val="none"/>
        </w:rPr>
        <w:t>1.5.1具有符合投标邀请中合格投标人资格要求；</w:t>
      </w:r>
    </w:p>
    <w:p w14:paraId="7849F507">
      <w:pPr>
        <w:tabs>
          <w:tab w:val="left" w:pos="1164"/>
        </w:tabs>
        <w:spacing w:line="360" w:lineRule="auto"/>
        <w:rPr>
          <w:rFonts w:ascii="宋体" w:hAnsi="宋体"/>
          <w:color w:val="000000"/>
          <w:szCs w:val="21"/>
          <w:highlight w:val="none"/>
        </w:rPr>
      </w:pPr>
      <w:r>
        <w:rPr>
          <w:rFonts w:hint="eastAsia" w:ascii="宋体" w:hAnsi="宋体"/>
          <w:color w:val="000000"/>
          <w:szCs w:val="21"/>
          <w:highlight w:val="none"/>
        </w:rPr>
        <w:t>1.5.2已在本项目报名及购买招标文件的投标人。</w:t>
      </w:r>
    </w:p>
    <w:p w14:paraId="5D138B03">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关于投标费用</w:t>
      </w:r>
    </w:p>
    <w:p w14:paraId="34E4CAEC">
      <w:p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 xml:space="preserve">     </w:t>
      </w:r>
      <w:r>
        <w:rPr>
          <w:rFonts w:hint="eastAsia" w:ascii="宋体" w:hAnsi="宋体"/>
          <w:color w:val="000000"/>
          <w:szCs w:val="21"/>
          <w:highlight w:val="none"/>
        </w:rPr>
        <w:t>投标人应承担所有与其参加投标有关的全部费用。</w:t>
      </w:r>
    </w:p>
    <w:p w14:paraId="38DE20A7">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合格的项目要求</w:t>
      </w:r>
    </w:p>
    <w:p w14:paraId="4B397C22">
      <w:pPr>
        <w:numPr>
          <w:ilvl w:val="2"/>
          <w:numId w:val="3"/>
        </w:numPr>
        <w:tabs>
          <w:tab w:val="left" w:pos="735"/>
        </w:tabs>
        <w:spacing w:line="360" w:lineRule="auto"/>
        <w:ind w:left="735" w:hanging="735"/>
        <w:rPr>
          <w:rFonts w:ascii="宋体" w:hAnsi="宋体"/>
          <w:szCs w:val="21"/>
          <w:highlight w:val="none"/>
        </w:rPr>
      </w:pPr>
      <w:r>
        <w:rPr>
          <w:rFonts w:hint="eastAsia" w:ascii="宋体" w:hAnsi="宋体"/>
          <w:szCs w:val="21"/>
          <w:highlight w:val="none"/>
        </w:rPr>
        <w:t>投标人提供的所有货物、服务、设计及工程，其来源均应符合《中华人民共和国政府采购法》等相关法律法规的规定。</w:t>
      </w:r>
    </w:p>
    <w:p w14:paraId="301C2E60">
      <w:pPr>
        <w:numPr>
          <w:ilvl w:val="2"/>
          <w:numId w:val="3"/>
        </w:numPr>
        <w:tabs>
          <w:tab w:val="left" w:pos="735"/>
        </w:tabs>
        <w:spacing w:line="360" w:lineRule="auto"/>
        <w:ind w:left="735" w:hanging="735"/>
        <w:rPr>
          <w:rFonts w:ascii="宋体" w:hAnsi="宋体"/>
          <w:szCs w:val="21"/>
          <w:highlight w:val="none"/>
        </w:rPr>
      </w:pPr>
      <w:r>
        <w:rPr>
          <w:rFonts w:hint="eastAsia" w:ascii="宋体" w:hAnsi="宋体"/>
          <w:szCs w:val="21"/>
          <w:highlight w:val="none"/>
        </w:rPr>
        <w:t>本项目采购本国产品。（经管理部门同意，本项目采购本国产品或不属于国家法律法规政策明确规定限制的进口产品。）</w:t>
      </w:r>
    </w:p>
    <w:p w14:paraId="604936E9">
      <w:pPr>
        <w:numPr>
          <w:ilvl w:val="2"/>
          <w:numId w:val="3"/>
        </w:numPr>
        <w:tabs>
          <w:tab w:val="left" w:pos="735"/>
        </w:tabs>
        <w:spacing w:line="360" w:lineRule="auto"/>
        <w:ind w:left="735" w:hanging="735"/>
        <w:rPr>
          <w:rFonts w:ascii="宋体" w:hAnsi="宋体"/>
          <w:szCs w:val="21"/>
          <w:highlight w:val="none"/>
        </w:rPr>
      </w:pPr>
      <w:r>
        <w:rPr>
          <w:rFonts w:hint="eastAsia" w:ascii="宋体" w:hAnsi="宋体"/>
          <w:szCs w:val="21"/>
          <w:highlight w:val="none"/>
        </w:rPr>
        <w:t>采购人将拒绝接受不合格的货物、服务和工程。</w:t>
      </w:r>
    </w:p>
    <w:p w14:paraId="5CDF3D57">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禁止事项</w:t>
      </w:r>
    </w:p>
    <w:p w14:paraId="0C97EDD1">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采购人、投标人和采购代理机构不得相互串通投标损害国家利益，社会公共利益和其他当事人的合法权益；不得以任何手段排斥其他投标人参与竞争。</w:t>
      </w:r>
    </w:p>
    <w:p w14:paraId="15779DA7">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投标人不得向采购人、采购代理机构、评标委员会的组成人员行贿或者采取其他不正当手段谋取中标。</w:t>
      </w:r>
    </w:p>
    <w:p w14:paraId="71A16AE7">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除投标人质疑和投诉外，从开标之时起至授予合同止，投标人不得就与其投标有关的事项主动与评标委员会、采购人以及采购代理机构接触。</w:t>
      </w:r>
    </w:p>
    <w:p w14:paraId="779CA6D5">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《中华人民共和国政府采购法》及相关法规规定的其它禁止事项。</w:t>
      </w:r>
    </w:p>
    <w:p w14:paraId="7D930E3D">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保密事项</w:t>
      </w:r>
    </w:p>
    <w:p w14:paraId="64E05977">
      <w:pPr>
        <w:spacing w:line="360" w:lineRule="auto"/>
        <w:ind w:left="630" w:hanging="630" w:hangingChars="300"/>
        <w:rPr>
          <w:rFonts w:ascii="宋体" w:hAnsi="宋体"/>
          <w:color w:val="000000"/>
          <w:szCs w:val="21"/>
          <w:highlight w:val="none"/>
        </w:rPr>
      </w:pPr>
      <w:r>
        <w:rPr>
          <w:rFonts w:hint="eastAsia" w:ascii="宋体" w:hAnsi="宋体"/>
          <w:color w:val="000000"/>
          <w:szCs w:val="21"/>
          <w:highlight w:val="none"/>
        </w:rPr>
        <w:t>1.9.1由采购人及采购代理机构向投标人提供的招标文件、用户需求书、图纸、样品、模型、模件等所有资料，投标人获得后，应对其保密。非经采购人同意，投标人不得向第三方透露或将其用于本次投标以外的任何用途。开标后，应采购人要求，投标人须归还采购人认为需保密的所有资料，并销毁所有相应的备份资料。</w:t>
      </w:r>
    </w:p>
    <w:p w14:paraId="78350304">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知识产权</w:t>
      </w:r>
    </w:p>
    <w:p w14:paraId="7F72CE93">
      <w:pPr>
        <w:spacing w:line="360" w:lineRule="auto"/>
        <w:ind w:left="718" w:leftChars="342"/>
        <w:rPr>
          <w:rFonts w:ascii="宋体" w:hAnsi="宋体"/>
          <w:color w:val="000000"/>
          <w:szCs w:val="21"/>
          <w:highlight w:val="none"/>
        </w:rPr>
      </w:pPr>
      <w:r>
        <w:rPr>
          <w:rFonts w:hint="eastAsia" w:ascii="宋体" w:hAnsi="宋体"/>
          <w:color w:val="000000"/>
          <w:szCs w:val="21"/>
          <w:highlight w:val="none"/>
          <w:lang w:val="en-GB"/>
        </w:rPr>
        <w:t>投标人必须保证，采购人在中华人民共和国境内使用投标人资料、技术、服务或其任何一部分时，享有不受限制的无偿使用权，不会产生因第三方提出侵犯其专利权、商标权或其它知识产权而引起的法律或经济纠纷。如投标人不拥有相应的知识产权，则应由投标人负责获得并提供给采购人使用，其投标报价中必须包括合法获取该知识产权的一切相关费用，如投标人没有单独列出的，视为已包含在相应报价中</w:t>
      </w:r>
      <w:r>
        <w:rPr>
          <w:rFonts w:hint="eastAsia" w:ascii="宋体" w:hAnsi="宋体"/>
          <w:color w:val="000000"/>
          <w:szCs w:val="21"/>
          <w:highlight w:val="none"/>
        </w:rPr>
        <w:t>。一旦使用投标人提供的产品或服务，采购人不再</w:t>
      </w:r>
      <w:r>
        <w:rPr>
          <w:rFonts w:hint="eastAsia" w:ascii="宋体" w:hAnsi="宋体"/>
          <w:color w:val="000000"/>
          <w:szCs w:val="21"/>
          <w:highlight w:val="none"/>
          <w:lang w:val="en-GB"/>
        </w:rPr>
        <w:t>承担第三方提出侵犯其专利权、商标权或其它知识产权而引起的法律或经济纠纷。</w:t>
      </w:r>
    </w:p>
    <w:p w14:paraId="418A1755">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定义</w:t>
      </w:r>
    </w:p>
    <w:p w14:paraId="3B22166E">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1.11.1.“采购人”系指</w:t>
      </w:r>
      <w:r>
        <w:rPr>
          <w:rFonts w:hint="eastAsia" w:ascii="宋体" w:hAnsi="宋体"/>
          <w:color w:val="000000"/>
          <w:szCs w:val="21"/>
          <w:highlight w:val="none"/>
        </w:rPr>
        <w:t>本招标文件投标邀请中所叙述的采购人</w:t>
      </w:r>
      <w:r>
        <w:rPr>
          <w:rFonts w:hint="eastAsia" w:ascii="宋体" w:hAnsi="宋体"/>
          <w:bCs/>
          <w:color w:val="000000"/>
          <w:szCs w:val="21"/>
          <w:highlight w:val="none"/>
        </w:rPr>
        <w:t>。</w:t>
      </w:r>
    </w:p>
    <w:p w14:paraId="74F80238">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1.11.2.“业主/用户”系指本项目的最终使用单位。</w:t>
      </w:r>
    </w:p>
    <w:p w14:paraId="36FDD393">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1.11.3.“采购代理机构</w:t>
      </w:r>
      <w:r>
        <w:rPr>
          <w:rFonts w:ascii="宋体" w:hAnsi="宋体"/>
          <w:bCs/>
          <w:color w:val="000000"/>
          <w:szCs w:val="21"/>
          <w:highlight w:val="none"/>
        </w:rPr>
        <w:t>”</w:t>
      </w:r>
      <w:r>
        <w:rPr>
          <w:rFonts w:hint="eastAsia" w:ascii="宋体" w:hAnsi="宋体"/>
          <w:bCs/>
          <w:color w:val="000000"/>
          <w:szCs w:val="21"/>
          <w:highlight w:val="none"/>
        </w:rPr>
        <w:t>系指广东群升招标代理有限公司。</w:t>
      </w:r>
    </w:p>
    <w:p w14:paraId="37C5D9D8">
      <w:pPr>
        <w:tabs>
          <w:tab w:val="left" w:pos="720"/>
        </w:tabs>
        <w:spacing w:line="360" w:lineRule="auto"/>
        <w:rPr>
          <w:rFonts w:ascii="宋体" w:hAnsi="宋体"/>
          <w:bCs/>
          <w:color w:val="000000"/>
          <w:szCs w:val="21"/>
          <w:highlight w:val="none"/>
        </w:rPr>
      </w:pPr>
      <w:r>
        <w:rPr>
          <w:rFonts w:hint="eastAsia" w:ascii="宋体" w:hAnsi="宋体" w:cs="宋体"/>
          <w:highlight w:val="none"/>
        </w:rPr>
        <w:t>1.11.4.</w:t>
      </w:r>
      <w:r>
        <w:rPr>
          <w:rFonts w:hint="eastAsia" w:ascii="Arial" w:hAnsi="Arial" w:cs="Arial"/>
          <w:highlight w:val="none"/>
        </w:rPr>
        <w:t>“</w:t>
      </w:r>
      <w:r>
        <w:rPr>
          <w:rFonts w:ascii="Arial" w:hAnsi="Arial" w:cs="Arial"/>
          <w:highlight w:val="none"/>
        </w:rPr>
        <w:t>监管部门</w:t>
      </w:r>
      <w:r>
        <w:rPr>
          <w:rFonts w:hint="eastAsia" w:ascii="Arial" w:hAnsi="Arial" w:cs="Arial"/>
          <w:highlight w:val="none"/>
        </w:rPr>
        <w:t>”</w:t>
      </w:r>
      <w:r>
        <w:rPr>
          <w:rFonts w:ascii="Arial" w:hAnsi="Arial" w:cs="Arial"/>
          <w:highlight w:val="none"/>
        </w:rPr>
        <w:t>是指：</w:t>
      </w:r>
      <w:r>
        <w:rPr>
          <w:rFonts w:hint="eastAsia" w:ascii="Arial" w:hAnsi="Arial" w:cs="Arial"/>
          <w:highlight w:val="none"/>
        </w:rPr>
        <w:t>采购人同级监管单位。</w:t>
      </w:r>
    </w:p>
    <w:p w14:paraId="0C99AF2D">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1.11.5.“投标人”系指向采购代理机构提交投标文件的合格单位。</w:t>
      </w:r>
    </w:p>
    <w:p w14:paraId="25A85BE6">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1.11.6.“甲方”系指采购人。</w:t>
      </w:r>
    </w:p>
    <w:p w14:paraId="273BA3E3">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1.11.7.“乙方”系指中标人。</w:t>
      </w:r>
    </w:p>
    <w:p w14:paraId="41B949DE">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1.11.8.“日期”指公历日,“时间”指北京时间。</w:t>
      </w:r>
    </w:p>
    <w:p w14:paraId="39EB2C95">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1.11.9.“服务”系指招标文件规定乙方须承担的相关服务。</w:t>
      </w:r>
    </w:p>
    <w:p w14:paraId="0E08638E">
      <w:pPr>
        <w:tabs>
          <w:tab w:val="left" w:pos="1674"/>
        </w:tabs>
        <w:spacing w:line="360" w:lineRule="auto"/>
        <w:rPr>
          <w:rFonts w:ascii="宋体" w:hAnsi="宋体"/>
          <w:bCs/>
          <w:color w:val="000000"/>
          <w:szCs w:val="21"/>
          <w:highlight w:val="none"/>
        </w:rPr>
      </w:pPr>
      <w:r>
        <w:rPr>
          <w:rFonts w:hint="eastAsia" w:ascii="宋体" w:hAnsi="宋体"/>
          <w:bCs/>
          <w:color w:val="000000"/>
          <w:szCs w:val="21"/>
          <w:highlight w:val="none"/>
        </w:rPr>
        <w:t>1.11.10.“书面形式”系指纸质文件形式，不包含电子邮件、手机短信等非纸质形式。</w:t>
      </w:r>
    </w:p>
    <w:p w14:paraId="14F759C6">
      <w:pPr>
        <w:tabs>
          <w:tab w:val="left" w:pos="1674"/>
        </w:tabs>
        <w:spacing w:line="360" w:lineRule="auto"/>
        <w:ind w:left="735" w:hanging="735" w:hangingChars="350"/>
        <w:rPr>
          <w:rFonts w:ascii="宋体" w:hAnsi="宋体"/>
          <w:bCs/>
          <w:color w:val="000000"/>
          <w:szCs w:val="21"/>
          <w:highlight w:val="none"/>
        </w:rPr>
      </w:pPr>
      <w:r>
        <w:rPr>
          <w:rFonts w:hint="eastAsia" w:ascii="宋体" w:hAnsi="宋体"/>
          <w:bCs/>
          <w:color w:val="000000"/>
          <w:szCs w:val="21"/>
          <w:highlight w:val="none"/>
        </w:rPr>
        <w:t>1.11.10.招标文件中的标题或题名仅起引导作用，而不应该作为对招标文件内容的理解或解释。</w:t>
      </w:r>
    </w:p>
    <w:p w14:paraId="7A1BEC9B">
      <w:pPr>
        <w:pStyle w:val="6"/>
        <w:numPr>
          <w:ilvl w:val="0"/>
          <w:numId w:val="3"/>
        </w:numPr>
        <w:spacing w:line="400" w:lineRule="exact"/>
        <w:rPr>
          <w:color w:val="000000"/>
          <w:sz w:val="21"/>
          <w:szCs w:val="21"/>
          <w:highlight w:val="none"/>
        </w:rPr>
      </w:pPr>
      <w:bookmarkStart w:id="34" w:name="_Toc334795449"/>
      <w:r>
        <w:rPr>
          <w:rFonts w:hint="eastAsia"/>
          <w:color w:val="000000"/>
          <w:sz w:val="21"/>
          <w:szCs w:val="21"/>
          <w:highlight w:val="none"/>
        </w:rPr>
        <w:t>招标文件</w:t>
      </w:r>
      <w:bookmarkEnd w:id="34"/>
    </w:p>
    <w:p w14:paraId="18ED4297">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招标文件的组成</w:t>
      </w:r>
    </w:p>
    <w:p w14:paraId="4AE35473">
      <w:pPr>
        <w:spacing w:line="360" w:lineRule="auto"/>
        <w:ind w:firstLine="240"/>
        <w:rPr>
          <w:rFonts w:ascii="宋体" w:hAnsi="宋体"/>
          <w:color w:val="000000"/>
          <w:szCs w:val="21"/>
          <w:highlight w:val="none"/>
        </w:rPr>
      </w:pPr>
      <w:r>
        <w:rPr>
          <w:rFonts w:ascii="宋体" w:hAnsi="宋体"/>
          <w:color w:val="000000"/>
          <w:szCs w:val="21"/>
          <w:highlight w:val="none"/>
        </w:rPr>
        <w:t>（1）</w:t>
      </w:r>
      <w:r>
        <w:rPr>
          <w:rFonts w:hint="eastAsia" w:ascii="宋体" w:hAnsi="宋体"/>
          <w:color w:val="000000"/>
          <w:szCs w:val="21"/>
          <w:highlight w:val="none"/>
        </w:rPr>
        <w:t>投标邀请</w:t>
      </w:r>
    </w:p>
    <w:p w14:paraId="0702AEB5">
      <w:pPr>
        <w:spacing w:line="360" w:lineRule="auto"/>
        <w:ind w:firstLine="240"/>
        <w:rPr>
          <w:rFonts w:ascii="宋体" w:hAnsi="宋体"/>
          <w:color w:val="000000"/>
          <w:szCs w:val="21"/>
          <w:highlight w:val="none"/>
        </w:rPr>
      </w:pPr>
      <w:r>
        <w:rPr>
          <w:rFonts w:ascii="宋体" w:hAnsi="宋体"/>
          <w:color w:val="000000"/>
          <w:szCs w:val="21"/>
          <w:highlight w:val="none"/>
        </w:rPr>
        <w:t>（2）</w:t>
      </w:r>
      <w:r>
        <w:rPr>
          <w:rFonts w:hint="eastAsia" w:ascii="宋体" w:hAnsi="宋体"/>
          <w:color w:val="000000"/>
          <w:szCs w:val="21"/>
          <w:highlight w:val="none"/>
        </w:rPr>
        <w:t>投标人须知</w:t>
      </w:r>
    </w:p>
    <w:p w14:paraId="17386782">
      <w:pPr>
        <w:spacing w:line="360" w:lineRule="auto"/>
        <w:ind w:firstLine="240"/>
        <w:rPr>
          <w:rFonts w:ascii="宋体" w:hAnsi="宋体"/>
          <w:color w:val="000000"/>
          <w:szCs w:val="21"/>
          <w:highlight w:val="none"/>
        </w:rPr>
      </w:pPr>
      <w:r>
        <w:rPr>
          <w:rFonts w:ascii="宋体" w:hAnsi="宋体"/>
          <w:color w:val="000000"/>
          <w:szCs w:val="21"/>
          <w:highlight w:val="none"/>
        </w:rPr>
        <w:t>（3）</w:t>
      </w:r>
      <w:r>
        <w:rPr>
          <w:rFonts w:hint="eastAsia" w:ascii="宋体" w:hAnsi="宋体"/>
          <w:color w:val="000000"/>
          <w:szCs w:val="21"/>
          <w:highlight w:val="none"/>
        </w:rPr>
        <w:t>采购人需求</w:t>
      </w:r>
    </w:p>
    <w:p w14:paraId="64234CEC">
      <w:pPr>
        <w:spacing w:line="360" w:lineRule="auto"/>
        <w:ind w:firstLine="240"/>
        <w:rPr>
          <w:rFonts w:ascii="宋体" w:hAnsi="宋体"/>
          <w:color w:val="000000"/>
          <w:szCs w:val="21"/>
          <w:highlight w:val="none"/>
        </w:rPr>
      </w:pPr>
      <w:r>
        <w:rPr>
          <w:rFonts w:ascii="宋体" w:hAnsi="宋体"/>
          <w:color w:val="000000"/>
          <w:szCs w:val="21"/>
          <w:highlight w:val="none"/>
        </w:rPr>
        <w:t>（4）</w:t>
      </w:r>
      <w:r>
        <w:rPr>
          <w:rFonts w:hint="eastAsia" w:ascii="宋体" w:hAnsi="宋体"/>
          <w:color w:val="000000"/>
          <w:szCs w:val="21"/>
          <w:highlight w:val="none"/>
        </w:rPr>
        <w:t>合同（样本）</w:t>
      </w:r>
    </w:p>
    <w:p w14:paraId="2178468D">
      <w:pPr>
        <w:spacing w:line="360" w:lineRule="auto"/>
        <w:ind w:firstLine="240"/>
        <w:rPr>
          <w:rFonts w:ascii="宋体" w:hAnsi="宋体"/>
          <w:color w:val="000000"/>
          <w:szCs w:val="21"/>
          <w:highlight w:val="none"/>
        </w:rPr>
      </w:pPr>
      <w:r>
        <w:rPr>
          <w:rFonts w:hint="eastAsia" w:ascii="宋体" w:hAnsi="宋体"/>
          <w:color w:val="000000"/>
          <w:szCs w:val="21"/>
          <w:highlight w:val="none"/>
        </w:rPr>
        <w:t>（5）开标、评标和定标</w:t>
      </w:r>
    </w:p>
    <w:p w14:paraId="0219B8D0">
      <w:pPr>
        <w:spacing w:line="360" w:lineRule="auto"/>
        <w:ind w:firstLine="240"/>
        <w:rPr>
          <w:rFonts w:ascii="宋体" w:hAnsi="宋体"/>
          <w:color w:val="000000"/>
          <w:szCs w:val="21"/>
          <w:highlight w:val="none"/>
        </w:rPr>
      </w:pPr>
      <w:r>
        <w:rPr>
          <w:rFonts w:ascii="宋体" w:hAnsi="宋体"/>
          <w:color w:val="000000"/>
          <w:szCs w:val="21"/>
          <w:highlight w:val="none"/>
        </w:rPr>
        <w:t>（</w:t>
      </w:r>
      <w:r>
        <w:rPr>
          <w:rFonts w:hint="eastAsia" w:ascii="宋体" w:hAnsi="宋体"/>
          <w:color w:val="000000"/>
          <w:szCs w:val="21"/>
          <w:highlight w:val="none"/>
        </w:rPr>
        <w:t>6</w:t>
      </w:r>
      <w:r>
        <w:rPr>
          <w:rFonts w:ascii="宋体" w:hAnsi="宋体"/>
          <w:color w:val="000000"/>
          <w:szCs w:val="21"/>
          <w:highlight w:val="none"/>
        </w:rPr>
        <w:t>）</w:t>
      </w:r>
      <w:r>
        <w:rPr>
          <w:rFonts w:hint="eastAsia" w:ascii="宋体" w:hAnsi="宋体"/>
          <w:color w:val="000000"/>
          <w:szCs w:val="21"/>
          <w:highlight w:val="none"/>
        </w:rPr>
        <w:t>投标文件格式</w:t>
      </w:r>
    </w:p>
    <w:p w14:paraId="5AB4AE29">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招标文件的澄清</w:t>
      </w:r>
    </w:p>
    <w:p w14:paraId="5B7D8884">
      <w:pPr>
        <w:spacing w:line="360" w:lineRule="auto"/>
        <w:ind w:left="598" w:leftChars="285" w:firstLine="420" w:firstLineChars="200"/>
        <w:rPr>
          <w:rFonts w:ascii="宋体" w:hAnsi="宋体"/>
          <w:bCs/>
          <w:color w:val="000000"/>
          <w:szCs w:val="21"/>
          <w:highlight w:val="none"/>
        </w:rPr>
      </w:pPr>
      <w:r>
        <w:rPr>
          <w:rFonts w:hint="eastAsia" w:ascii="宋体" w:hAnsi="宋体"/>
          <w:bCs/>
          <w:color w:val="000000"/>
          <w:szCs w:val="21"/>
          <w:highlight w:val="none"/>
        </w:rPr>
        <w:t>投标人如对招标文件有任何疑问，应以书面方式（加盖公章）向采购代理机构提出澄清要求。采购代理机构对其在投标截止日期16天前收到的对招标文件的澄清要求，在投标截止日期15天前将以书面形式予以答复，采购代理机构认为有必要时可将答复内容分发给所有取得同一招标文件的投标人。</w:t>
      </w:r>
    </w:p>
    <w:p w14:paraId="621D6981">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招标文件的补充和修改</w:t>
      </w:r>
    </w:p>
    <w:p w14:paraId="1F879012">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对招标文件进行必要的补充</w:t>
      </w:r>
      <w:r>
        <w:rPr>
          <w:rFonts w:ascii="宋体" w:hAnsi="宋体"/>
          <w:color w:val="000000"/>
          <w:szCs w:val="21"/>
          <w:highlight w:val="none"/>
        </w:rPr>
        <w:t>或</w:t>
      </w:r>
      <w:r>
        <w:rPr>
          <w:rFonts w:hint="eastAsia" w:ascii="宋体" w:hAnsi="宋体"/>
          <w:bCs/>
          <w:color w:val="000000"/>
          <w:szCs w:val="21"/>
          <w:highlight w:val="none"/>
        </w:rPr>
        <w:t>修改，</w:t>
      </w:r>
      <w:r>
        <w:rPr>
          <w:rFonts w:hint="eastAsia" w:ascii="宋体" w:hAnsi="宋体"/>
          <w:color w:val="000000"/>
          <w:szCs w:val="21"/>
          <w:highlight w:val="none"/>
        </w:rPr>
        <w:t>于开标前15天以书面或在相关网站公告的形式</w:t>
      </w:r>
      <w:r>
        <w:rPr>
          <w:rFonts w:ascii="宋体" w:hAnsi="宋体"/>
          <w:color w:val="000000"/>
          <w:szCs w:val="21"/>
          <w:highlight w:val="none"/>
        </w:rPr>
        <w:t>通知所有</w:t>
      </w:r>
      <w:r>
        <w:rPr>
          <w:rFonts w:hint="eastAsia" w:ascii="宋体" w:hAnsi="宋体"/>
          <w:color w:val="000000"/>
          <w:szCs w:val="21"/>
          <w:highlight w:val="none"/>
        </w:rPr>
        <w:t>已获取招标文件的</w:t>
      </w:r>
      <w:r>
        <w:rPr>
          <w:rFonts w:hint="eastAsia" w:ascii="宋体" w:hAnsi="宋体"/>
          <w:bCs/>
          <w:color w:val="000000"/>
          <w:szCs w:val="21"/>
          <w:highlight w:val="none"/>
        </w:rPr>
        <w:t>投标人，投标人</w:t>
      </w:r>
      <w:r>
        <w:rPr>
          <w:rFonts w:hint="eastAsia" w:ascii="宋体" w:hAnsi="宋体"/>
          <w:color w:val="000000"/>
          <w:szCs w:val="21"/>
          <w:highlight w:val="none"/>
        </w:rPr>
        <w:t>在收到</w:t>
      </w:r>
      <w:r>
        <w:rPr>
          <w:rFonts w:hint="eastAsia" w:ascii="宋体" w:hAnsi="宋体"/>
          <w:bCs/>
          <w:color w:val="000000"/>
          <w:szCs w:val="21"/>
          <w:highlight w:val="none"/>
        </w:rPr>
        <w:t>补充</w:t>
      </w:r>
      <w:r>
        <w:rPr>
          <w:rFonts w:ascii="宋体" w:hAnsi="宋体"/>
          <w:color w:val="000000"/>
          <w:szCs w:val="21"/>
          <w:highlight w:val="none"/>
        </w:rPr>
        <w:t>或修改</w:t>
      </w:r>
      <w:r>
        <w:rPr>
          <w:rFonts w:hint="eastAsia" w:ascii="宋体" w:hAnsi="宋体"/>
          <w:color w:val="000000"/>
          <w:szCs w:val="21"/>
          <w:highlight w:val="none"/>
        </w:rPr>
        <w:t>通知后应立即以书面形式予以确认，投标人在投标截止时间前不予书面确认的，视为已收到通知，</w:t>
      </w:r>
      <w:r>
        <w:rPr>
          <w:rFonts w:ascii="宋体" w:hAnsi="宋体"/>
          <w:color w:val="000000"/>
          <w:szCs w:val="21"/>
          <w:highlight w:val="none"/>
        </w:rPr>
        <w:t>该</w:t>
      </w:r>
      <w:r>
        <w:rPr>
          <w:rFonts w:hint="eastAsia" w:ascii="宋体" w:hAnsi="宋体"/>
          <w:bCs/>
          <w:color w:val="000000"/>
          <w:szCs w:val="21"/>
          <w:highlight w:val="none"/>
        </w:rPr>
        <w:t>补充</w:t>
      </w:r>
      <w:r>
        <w:rPr>
          <w:rFonts w:ascii="宋体" w:hAnsi="宋体"/>
          <w:color w:val="000000"/>
          <w:szCs w:val="21"/>
          <w:highlight w:val="none"/>
        </w:rPr>
        <w:t>或修改的内容为招标文件的组成部分</w:t>
      </w:r>
      <w:r>
        <w:rPr>
          <w:rFonts w:hint="eastAsia" w:ascii="宋体" w:hAnsi="宋体"/>
          <w:color w:val="000000"/>
          <w:szCs w:val="21"/>
          <w:highlight w:val="none"/>
        </w:rPr>
        <w:t>；</w:t>
      </w:r>
      <w:r>
        <w:rPr>
          <w:rFonts w:hint="eastAsia" w:ascii="宋体" w:hAnsi="宋体"/>
          <w:bCs/>
          <w:color w:val="000000"/>
          <w:szCs w:val="21"/>
          <w:highlight w:val="none"/>
        </w:rPr>
        <w:t>补充</w:t>
      </w:r>
      <w:r>
        <w:rPr>
          <w:rFonts w:hint="eastAsia" w:ascii="宋体" w:hAnsi="宋体"/>
          <w:color w:val="000000"/>
          <w:szCs w:val="21"/>
          <w:highlight w:val="none"/>
        </w:rPr>
        <w:t>或修改不足15天的，采购代理机构在征得已获取招标文件的投标人同意并书面确认后，可不改变投标截止时间。采购代理机构将拒绝没有对</w:t>
      </w:r>
      <w:r>
        <w:rPr>
          <w:rFonts w:hint="eastAsia" w:ascii="宋体" w:hAnsi="宋体"/>
          <w:bCs/>
          <w:color w:val="000000"/>
          <w:szCs w:val="21"/>
          <w:highlight w:val="none"/>
        </w:rPr>
        <w:t>补充</w:t>
      </w:r>
      <w:r>
        <w:rPr>
          <w:rFonts w:ascii="宋体" w:hAnsi="宋体"/>
          <w:color w:val="000000"/>
          <w:szCs w:val="21"/>
          <w:highlight w:val="none"/>
        </w:rPr>
        <w:t>或</w:t>
      </w:r>
      <w:r>
        <w:rPr>
          <w:rFonts w:hint="eastAsia" w:ascii="宋体" w:hAnsi="宋体"/>
          <w:color w:val="000000"/>
          <w:szCs w:val="21"/>
          <w:highlight w:val="none"/>
        </w:rPr>
        <w:t>修改文件予以书面确认的</w:t>
      </w:r>
      <w:r>
        <w:rPr>
          <w:rFonts w:hint="eastAsia" w:ascii="宋体" w:hAnsi="宋体"/>
          <w:bCs/>
          <w:color w:val="000000"/>
          <w:szCs w:val="21"/>
          <w:highlight w:val="none"/>
        </w:rPr>
        <w:t>投标人</w:t>
      </w:r>
      <w:r>
        <w:rPr>
          <w:rFonts w:hint="eastAsia" w:ascii="宋体" w:hAnsi="宋体"/>
          <w:color w:val="000000"/>
          <w:szCs w:val="21"/>
          <w:highlight w:val="none"/>
        </w:rPr>
        <w:t>的投标。</w:t>
      </w:r>
    </w:p>
    <w:p w14:paraId="2E1F5C3E">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招标过程中的一切修改文件或补充文件一旦确认后与招标文件具有同等法律效力，投标人有责任履行相应的义务。</w:t>
      </w:r>
    </w:p>
    <w:p w14:paraId="075DBCED">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为使潜在投标人有合理的时间理解招标文件的修改，采购代理机构可酌情推迟投标截止日期和开标时间，但至少应当在规定的投标截止时间三日前，将变更时间书面通知所有招标文件收受人，并在投标邀请所述网站发布变更公告。</w:t>
      </w:r>
    </w:p>
    <w:p w14:paraId="603B7633">
      <w:pPr>
        <w:numPr>
          <w:ilvl w:val="2"/>
          <w:numId w:val="3"/>
        </w:numPr>
        <w:tabs>
          <w:tab w:val="left" w:pos="735"/>
        </w:tabs>
        <w:spacing w:line="360" w:lineRule="auto"/>
        <w:ind w:left="735" w:hanging="735"/>
        <w:rPr>
          <w:rFonts w:ascii="宋体" w:hAnsi="宋体"/>
          <w:color w:val="000000"/>
          <w:szCs w:val="21"/>
          <w:highlight w:val="none"/>
        </w:rPr>
      </w:pPr>
      <w:r>
        <w:rPr>
          <w:rFonts w:ascii="宋体" w:hAnsi="宋体"/>
          <w:color w:val="000000"/>
          <w:szCs w:val="21"/>
          <w:highlight w:val="none"/>
        </w:rPr>
        <w:t>投标人在规定的时间内未对招标文件提出疑问、质疑或要求澄清的，将视其为无异议。对招标文件中描述有歧义或前后不一致的地方，评标委员会有权进行评判，但对同一条款的评判应适用于每个投标人</w:t>
      </w:r>
      <w:r>
        <w:rPr>
          <w:rFonts w:hint="eastAsia" w:ascii="宋体" w:hAnsi="宋体"/>
          <w:color w:val="000000"/>
          <w:szCs w:val="21"/>
          <w:highlight w:val="none"/>
        </w:rPr>
        <w:t>。</w:t>
      </w:r>
    </w:p>
    <w:p w14:paraId="32FE0776">
      <w:pPr>
        <w:pStyle w:val="6"/>
        <w:numPr>
          <w:ilvl w:val="0"/>
          <w:numId w:val="3"/>
        </w:numPr>
        <w:spacing w:line="400" w:lineRule="exact"/>
        <w:rPr>
          <w:color w:val="000000"/>
          <w:sz w:val="21"/>
          <w:szCs w:val="21"/>
          <w:highlight w:val="none"/>
        </w:rPr>
      </w:pPr>
      <w:bookmarkStart w:id="35" w:name="_Toc130695594"/>
      <w:bookmarkStart w:id="36" w:name="_Toc153615291"/>
      <w:bookmarkStart w:id="37" w:name="_Toc49082411"/>
      <w:bookmarkStart w:id="38" w:name="_Toc49135197"/>
      <w:bookmarkStart w:id="39" w:name="_Toc130697186"/>
      <w:bookmarkStart w:id="40" w:name="_Toc238282334"/>
      <w:bookmarkStart w:id="41" w:name="_Toc224435720"/>
      <w:bookmarkStart w:id="42" w:name="_Toc185747580"/>
      <w:bookmarkStart w:id="43" w:name="_Toc334795450"/>
      <w:bookmarkStart w:id="44" w:name="_Toc225565947"/>
      <w:bookmarkStart w:id="45" w:name="_Toc228899501"/>
      <w:bookmarkStart w:id="46" w:name="_Toc228644972"/>
      <w:bookmarkStart w:id="47" w:name="_Toc223939095"/>
      <w:r>
        <w:rPr>
          <w:rFonts w:hint="eastAsia"/>
          <w:color w:val="000000"/>
          <w:sz w:val="21"/>
          <w:szCs w:val="21"/>
          <w:highlight w:val="none"/>
        </w:rPr>
        <w:t>投标</w:t>
      </w:r>
      <w:bookmarkEnd w:id="35"/>
      <w:bookmarkEnd w:id="36"/>
      <w:bookmarkEnd w:id="37"/>
      <w:bookmarkEnd w:id="38"/>
      <w:bookmarkEnd w:id="39"/>
      <w:r>
        <w:rPr>
          <w:rFonts w:hint="eastAsia"/>
          <w:color w:val="000000"/>
          <w:sz w:val="21"/>
          <w:szCs w:val="21"/>
          <w:highlight w:val="none"/>
        </w:rPr>
        <w:t>文件</w:t>
      </w:r>
      <w:bookmarkEnd w:id="40"/>
      <w:bookmarkEnd w:id="41"/>
      <w:bookmarkEnd w:id="42"/>
      <w:bookmarkEnd w:id="43"/>
      <w:bookmarkEnd w:id="44"/>
      <w:bookmarkEnd w:id="45"/>
      <w:bookmarkEnd w:id="46"/>
      <w:bookmarkEnd w:id="47"/>
    </w:p>
    <w:p w14:paraId="68490EE7">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投标文件的编写</w:t>
      </w:r>
    </w:p>
    <w:p w14:paraId="682E9AFA">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投标人应仔细阅读招标文件的所有内容，按招标文件的要求制作并递交投标文件，并保证所提供的全部资料的真实性、准确性，以确保其投标对招标文件做出实质性响应。投标人在投标中提供不真实的材料，无论其材料是否重要，都将直接导致投标文件无效，并承担由此产生的法律责任。</w:t>
      </w:r>
    </w:p>
    <w:p w14:paraId="542AEDB9">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投标语言和计量单位：投标文件和来往函件应用简体中文书写，投标人提供的支持文件、技术资料和印刷的文献可以用其他语言，但相应内容应附有中文翻译文本，对不同文字文本投标文件的解释发生异议的，以中文文本为准。计量单位应使用国际公制单位。</w:t>
      </w:r>
    </w:p>
    <w:p w14:paraId="1EDFAFC5">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投标人须用人民币作为报价的货币单位。</w:t>
      </w:r>
      <w:r>
        <w:rPr>
          <w:rFonts w:hint="eastAsia" w:ascii="宋体" w:hAnsi="宋体"/>
          <w:color w:val="000000"/>
          <w:szCs w:val="21"/>
          <w:highlight w:val="none"/>
        </w:rPr>
        <w:t>投标文件中开标一览表（报价表）内容与投标文件中明细表内容不一致的，以开标一览表（报价表）为准。</w:t>
      </w:r>
      <w:r>
        <w:rPr>
          <w:rFonts w:hint="eastAsia" w:ascii="宋体" w:hAnsi="宋体"/>
          <w:bCs/>
          <w:color w:val="000000"/>
          <w:szCs w:val="21"/>
          <w:highlight w:val="none"/>
        </w:rPr>
        <w:t>投标文件的大写金额和小写金额不一致的，以大写金额为准；总价金额与按单价汇总金额不一致的，以单价金额计算结果为准；单价金额小数点有明显错位的，应以总价为准，并修改单价。</w:t>
      </w:r>
    </w:p>
    <w:p w14:paraId="67FD2C50">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投标人的报价明显低于其他投标报价，使得其投标报价可能低于其个别成本的，</w:t>
      </w:r>
      <w:r>
        <w:rPr>
          <w:rFonts w:hint="eastAsia" w:ascii="宋体" w:hAnsi="宋体" w:cs="宋体"/>
          <w:color w:val="000000"/>
          <w:kern w:val="0"/>
          <w:szCs w:val="21"/>
          <w:highlight w:val="none"/>
        </w:rPr>
        <w:t>有可能影响商品质量和不能诚信履约的，评标委员会</w:t>
      </w:r>
      <w:r>
        <w:rPr>
          <w:rFonts w:hint="eastAsia" w:ascii="宋体" w:hAnsi="宋体"/>
          <w:bCs/>
          <w:color w:val="000000"/>
          <w:szCs w:val="21"/>
          <w:highlight w:val="none"/>
        </w:rPr>
        <w:t>应当要求该投标人作出书面说明并提供相关证明材料。投标人不能合理说明或者不能提供相关证明材料的，由评标委员会认定该投标人以低于成本报价竞标其投标应作无效竞标处理。</w:t>
      </w:r>
    </w:p>
    <w:p w14:paraId="67CB4205">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本项目要求投标报价应包括货物、设计、配套工程等所有费用，以及投标人认为必要的服务；投标人应自行增加合法及使用所必需但招标文件没有包含的所有设计、服务、版权、专利等一切费用，如果投标人在中标并签署合同后，在勘察、培训等工作中出现任何遗漏，均由中标人免费提供，采购人将不再支付任何费用。</w:t>
      </w:r>
    </w:p>
    <w:p w14:paraId="310D7995">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投标人在详细报价中应列出采购人需求的所有项目，投标人认为必要的但在招标文件中未列出的其它项目可在报价表后面做出补充，所补充的内容应在投标文件中加以详细说明。</w:t>
      </w:r>
    </w:p>
    <w:p w14:paraId="4A4F2BC2">
      <w:pPr>
        <w:numPr>
          <w:ilvl w:val="2"/>
          <w:numId w:val="3"/>
        </w:numPr>
        <w:tabs>
          <w:tab w:val="left" w:pos="735"/>
        </w:tabs>
        <w:spacing w:line="360" w:lineRule="auto"/>
        <w:ind w:left="735" w:hanging="735"/>
        <w:rPr>
          <w:rFonts w:ascii="宋体" w:hAnsi="宋体"/>
          <w:color w:val="000000"/>
          <w:szCs w:val="21"/>
          <w:highlight w:val="none"/>
          <w:u w:val="single"/>
        </w:rPr>
      </w:pPr>
      <w:r>
        <w:rPr>
          <w:rFonts w:hint="eastAsia" w:ascii="宋体" w:hAnsi="宋体"/>
          <w:bCs/>
          <w:color w:val="000000"/>
          <w:szCs w:val="21"/>
          <w:highlight w:val="none"/>
        </w:rPr>
        <w:t>报价栏项目中如出现唯一的数字“0”，则视报价为零；如出现空白或出现负数，视为未响应。</w:t>
      </w:r>
    </w:p>
    <w:p w14:paraId="6FDE5D59">
      <w:pPr>
        <w:numPr>
          <w:ilvl w:val="2"/>
          <w:numId w:val="3"/>
        </w:numPr>
        <w:tabs>
          <w:tab w:val="left" w:pos="735"/>
        </w:tabs>
        <w:spacing w:line="360" w:lineRule="auto"/>
        <w:ind w:left="735" w:hanging="735"/>
        <w:rPr>
          <w:rFonts w:ascii="宋体" w:hAnsi="宋体"/>
          <w:color w:val="000000"/>
          <w:szCs w:val="21"/>
          <w:highlight w:val="none"/>
          <w:u w:val="single"/>
        </w:rPr>
      </w:pPr>
      <w:r>
        <w:rPr>
          <w:rFonts w:hint="eastAsia" w:ascii="宋体" w:hAnsi="宋体" w:cs="宋体"/>
          <w:color w:val="000000"/>
          <w:szCs w:val="21"/>
          <w:highlight w:val="none"/>
        </w:rPr>
        <w:t>投标人在编写投标文件时，应填写招标文件要求的内容及其附件，并根据实际情况补充评审所需资料，投标文件只填写和提供了招标文件要求的部分内容和附件，或没有提供招标文件中所要求的全部资料及数据，或没有按实际情况提供投标所需资料的，其可能导致的结果和责任由投标人自行承担。</w:t>
      </w:r>
    </w:p>
    <w:p w14:paraId="7EB64A9D">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投标文件的组成</w:t>
      </w:r>
    </w:p>
    <w:p w14:paraId="061CFA84">
      <w:pPr>
        <w:tabs>
          <w:tab w:val="left" w:pos="1254"/>
        </w:tabs>
        <w:spacing w:line="360" w:lineRule="auto"/>
        <w:rPr>
          <w:rFonts w:ascii="宋体" w:hAnsi="宋体"/>
          <w:color w:val="000000"/>
          <w:szCs w:val="21"/>
          <w:highlight w:val="none"/>
        </w:rPr>
      </w:pPr>
      <w:r>
        <w:rPr>
          <w:rFonts w:hint="eastAsia" w:ascii="宋体" w:hAnsi="宋体"/>
          <w:color w:val="000000"/>
          <w:szCs w:val="21"/>
          <w:highlight w:val="none"/>
        </w:rPr>
        <w:t>3.2.1. 投标文件的构成</w:t>
      </w:r>
    </w:p>
    <w:p w14:paraId="3F125E89">
      <w:pPr>
        <w:tabs>
          <w:tab w:val="left" w:pos="1254"/>
          <w:tab w:val="left" w:pos="8640"/>
        </w:tabs>
        <w:spacing w:line="360" w:lineRule="auto"/>
        <w:ind w:left="598" w:leftChars="285"/>
        <w:rPr>
          <w:rFonts w:ascii="宋体" w:hAnsi="宋体"/>
          <w:color w:val="000000"/>
          <w:szCs w:val="21"/>
          <w:highlight w:val="none"/>
        </w:rPr>
      </w:pPr>
      <w:r>
        <w:rPr>
          <w:rFonts w:hint="eastAsia" w:ascii="宋体" w:hAnsi="宋体"/>
          <w:color w:val="000000"/>
          <w:szCs w:val="21"/>
          <w:highlight w:val="none"/>
        </w:rPr>
        <w:t>投标人编写的投标文件应编排为四部分：①投标报价文件；②资格性、符合性审查文件；③商务文件；④技术文件，投标文件应包含但不限于以下内容：</w:t>
      </w:r>
    </w:p>
    <w:p w14:paraId="54BE02D0">
      <w:pPr>
        <w:spacing w:line="360" w:lineRule="auto"/>
        <w:ind w:left="720"/>
        <w:rPr>
          <w:rFonts w:ascii="宋体" w:hAnsi="宋体"/>
          <w:color w:val="000000"/>
          <w:szCs w:val="21"/>
          <w:highlight w:val="none"/>
        </w:rPr>
      </w:pPr>
      <w:r>
        <w:rPr>
          <w:rFonts w:hint="eastAsia" w:ascii="宋体" w:hAnsi="宋体"/>
          <w:color w:val="000000"/>
          <w:szCs w:val="21"/>
          <w:highlight w:val="none"/>
        </w:rPr>
        <w:t>（1）按规定填写的投标函、开标一览表、投标报价表；</w:t>
      </w:r>
    </w:p>
    <w:p w14:paraId="61BE00CC">
      <w:pPr>
        <w:spacing w:line="360" w:lineRule="auto"/>
        <w:ind w:left="720"/>
        <w:rPr>
          <w:rFonts w:ascii="宋体" w:hAnsi="宋体"/>
          <w:color w:val="000000"/>
          <w:szCs w:val="21"/>
          <w:highlight w:val="none"/>
        </w:rPr>
      </w:pPr>
      <w:r>
        <w:rPr>
          <w:rFonts w:hint="eastAsia" w:ascii="宋体" w:hAnsi="宋体"/>
          <w:color w:val="000000"/>
          <w:szCs w:val="21"/>
          <w:highlight w:val="none"/>
        </w:rPr>
        <w:t>（2）按要求出具的资格证明文件，证明投标人是合格的，而且中标后有能力履行合同；</w:t>
      </w:r>
    </w:p>
    <w:p w14:paraId="2FC9945D">
      <w:pPr>
        <w:spacing w:line="360" w:lineRule="auto"/>
        <w:ind w:left="720"/>
        <w:rPr>
          <w:rFonts w:ascii="宋体" w:hAnsi="宋体"/>
          <w:color w:val="000000"/>
          <w:szCs w:val="21"/>
          <w:highlight w:val="none"/>
        </w:rPr>
      </w:pPr>
      <w:r>
        <w:rPr>
          <w:rFonts w:hint="eastAsia" w:ascii="宋体" w:hAnsi="宋体"/>
          <w:color w:val="000000"/>
          <w:szCs w:val="21"/>
          <w:highlight w:val="none"/>
        </w:rPr>
        <w:t>（3）按规定出具的证明文件，证明投标人提供的设计和服务是合格的，而且符合招标文件的规定；</w:t>
      </w:r>
    </w:p>
    <w:p w14:paraId="00BDD58E">
      <w:pPr>
        <w:spacing w:line="360" w:lineRule="auto"/>
        <w:ind w:left="720"/>
        <w:rPr>
          <w:rFonts w:ascii="宋体" w:hAnsi="宋体"/>
          <w:color w:val="000000"/>
          <w:szCs w:val="21"/>
          <w:highlight w:val="none"/>
        </w:rPr>
      </w:pPr>
      <w:r>
        <w:rPr>
          <w:rFonts w:hint="eastAsia" w:ascii="宋体" w:hAnsi="宋体"/>
          <w:color w:val="000000"/>
          <w:szCs w:val="21"/>
          <w:highlight w:val="none"/>
        </w:rPr>
        <w:t>（4）按规定提交投标保证金；</w:t>
      </w:r>
    </w:p>
    <w:p w14:paraId="4A00E255">
      <w:pPr>
        <w:spacing w:line="360" w:lineRule="auto"/>
        <w:ind w:left="720"/>
        <w:rPr>
          <w:rFonts w:ascii="宋体" w:hAnsi="宋体"/>
          <w:color w:val="000000"/>
          <w:szCs w:val="21"/>
          <w:highlight w:val="none"/>
        </w:rPr>
      </w:pPr>
      <w:r>
        <w:rPr>
          <w:rFonts w:hint="eastAsia" w:ascii="宋体" w:hAnsi="宋体"/>
          <w:color w:val="000000"/>
          <w:szCs w:val="21"/>
          <w:highlight w:val="none"/>
        </w:rPr>
        <w:t>（5）对招标文件第二章作出的书面响应，包括但不限于技术建议书、技术规格、技术参数、技术文件及图纸、商务要求等；</w:t>
      </w:r>
    </w:p>
    <w:p w14:paraId="6688B470">
      <w:pPr>
        <w:spacing w:line="360" w:lineRule="auto"/>
        <w:ind w:left="720"/>
        <w:rPr>
          <w:rFonts w:ascii="宋体" w:hAnsi="宋体"/>
          <w:color w:val="000000"/>
          <w:szCs w:val="21"/>
          <w:highlight w:val="none"/>
        </w:rPr>
      </w:pPr>
      <w:r>
        <w:rPr>
          <w:rFonts w:hint="eastAsia" w:ascii="宋体" w:hAnsi="宋体"/>
          <w:color w:val="000000"/>
          <w:szCs w:val="21"/>
          <w:highlight w:val="none"/>
        </w:rPr>
        <w:t>（6）投标人认为须提交和评分内容相关的别的资料。</w:t>
      </w:r>
    </w:p>
    <w:p w14:paraId="1714FD67">
      <w:pPr>
        <w:spacing w:line="360" w:lineRule="auto"/>
        <w:ind w:left="720"/>
        <w:rPr>
          <w:rFonts w:ascii="宋体" w:hAnsi="宋体"/>
          <w:color w:val="000000"/>
          <w:szCs w:val="21"/>
          <w:highlight w:val="none"/>
        </w:rPr>
      </w:pPr>
      <w:r>
        <w:rPr>
          <w:rFonts w:hint="eastAsia" w:ascii="宋体" w:hAnsi="宋体"/>
          <w:color w:val="000000"/>
          <w:szCs w:val="21"/>
          <w:highlight w:val="none"/>
        </w:rPr>
        <w:t>上述内容可按《第五章 投标文件格式》格式进行编排。</w:t>
      </w:r>
    </w:p>
    <w:p w14:paraId="5EDF45EC">
      <w:pPr>
        <w:tabs>
          <w:tab w:val="left" w:pos="1254"/>
        </w:tabs>
        <w:spacing w:line="360" w:lineRule="auto"/>
        <w:ind w:left="735" w:hanging="735" w:hangingChars="350"/>
        <w:rPr>
          <w:rFonts w:ascii="宋体" w:hAnsi="宋体"/>
          <w:color w:val="000000"/>
          <w:szCs w:val="21"/>
          <w:highlight w:val="none"/>
        </w:rPr>
      </w:pPr>
      <w:r>
        <w:rPr>
          <w:rFonts w:hint="eastAsia" w:ascii="宋体" w:hAnsi="宋体"/>
          <w:color w:val="000000"/>
          <w:szCs w:val="21"/>
          <w:highlight w:val="none"/>
        </w:rPr>
        <w:t>3.2.2. 为提高开标效率，投标人应准备“唱标信封”一份。投标人提交的 “唱标信封”，应将下列内容单独密封入该信封。</w:t>
      </w:r>
    </w:p>
    <w:p w14:paraId="292B75FB">
      <w:pPr>
        <w:tabs>
          <w:tab w:val="left" w:pos="525"/>
          <w:tab w:val="left" w:pos="1254"/>
        </w:tabs>
        <w:spacing w:line="360" w:lineRule="auto"/>
        <w:ind w:left="718" w:leftChars="342"/>
        <w:rPr>
          <w:rFonts w:ascii="宋体" w:hAnsi="宋体"/>
          <w:color w:val="000000"/>
          <w:szCs w:val="21"/>
          <w:highlight w:val="none"/>
        </w:rPr>
      </w:pPr>
      <w:r>
        <w:rPr>
          <w:rFonts w:hint="eastAsia" w:ascii="宋体" w:hAnsi="宋体"/>
          <w:color w:val="000000"/>
          <w:szCs w:val="21"/>
          <w:highlight w:val="none"/>
        </w:rPr>
        <w:t>（1）《投标函》(从投标文件正本中复印并加盖公章)；</w:t>
      </w:r>
    </w:p>
    <w:p w14:paraId="2D4F96AA">
      <w:pPr>
        <w:tabs>
          <w:tab w:val="left" w:pos="525"/>
          <w:tab w:val="left" w:pos="1254"/>
        </w:tabs>
        <w:spacing w:line="360" w:lineRule="auto"/>
        <w:ind w:left="718" w:leftChars="342"/>
        <w:rPr>
          <w:rFonts w:ascii="宋体" w:hAnsi="宋体"/>
          <w:color w:val="000000"/>
          <w:szCs w:val="21"/>
          <w:highlight w:val="none"/>
        </w:rPr>
      </w:pPr>
      <w:r>
        <w:rPr>
          <w:rFonts w:hint="eastAsia" w:ascii="宋体" w:hAnsi="宋体"/>
          <w:color w:val="000000"/>
          <w:szCs w:val="21"/>
          <w:highlight w:val="none"/>
        </w:rPr>
        <w:t>（2）《开标一览表》(从投标文件正本中复印并加盖公章)；</w:t>
      </w:r>
    </w:p>
    <w:p w14:paraId="625FB1C1">
      <w:pPr>
        <w:tabs>
          <w:tab w:val="left" w:pos="525"/>
          <w:tab w:val="left" w:pos="1254"/>
        </w:tabs>
        <w:spacing w:line="360" w:lineRule="auto"/>
        <w:ind w:left="718" w:leftChars="342"/>
        <w:rPr>
          <w:rFonts w:ascii="宋体" w:hAnsi="宋体"/>
          <w:color w:val="000000"/>
          <w:szCs w:val="21"/>
          <w:highlight w:val="none"/>
        </w:rPr>
      </w:pPr>
      <w:r>
        <w:rPr>
          <w:rFonts w:hint="eastAsia" w:ascii="宋体" w:hAnsi="宋体"/>
          <w:color w:val="000000"/>
          <w:szCs w:val="21"/>
          <w:highlight w:val="none"/>
        </w:rPr>
        <w:t>（3）《投标保证金汇款声明函》（原件）及投标保证金交付银行回单副本联或复印件（复印件加盖公章）或投标保函（原件）；</w:t>
      </w:r>
    </w:p>
    <w:p w14:paraId="2D200B76">
      <w:pPr>
        <w:tabs>
          <w:tab w:val="left" w:pos="525"/>
          <w:tab w:val="left" w:pos="1254"/>
        </w:tabs>
        <w:spacing w:line="360" w:lineRule="auto"/>
        <w:ind w:left="718" w:leftChars="342"/>
        <w:rPr>
          <w:rFonts w:ascii="宋体" w:hAnsi="宋体"/>
          <w:color w:val="000000"/>
          <w:szCs w:val="21"/>
          <w:highlight w:val="none"/>
        </w:rPr>
      </w:pPr>
      <w:r>
        <w:rPr>
          <w:rFonts w:hint="eastAsia" w:ascii="宋体" w:hAnsi="宋体"/>
          <w:color w:val="000000"/>
          <w:szCs w:val="21"/>
          <w:highlight w:val="none"/>
        </w:rPr>
        <w:t>（4）法定代表人证明及授权书（原件）；</w:t>
      </w:r>
    </w:p>
    <w:p w14:paraId="02071403">
      <w:pPr>
        <w:tabs>
          <w:tab w:val="left" w:pos="1254"/>
        </w:tabs>
        <w:spacing w:line="360" w:lineRule="auto"/>
        <w:rPr>
          <w:rFonts w:ascii="宋体" w:hAnsi="宋体"/>
          <w:color w:val="000000"/>
          <w:szCs w:val="21"/>
          <w:highlight w:val="none"/>
        </w:rPr>
      </w:pPr>
      <w:r>
        <w:rPr>
          <w:rFonts w:hint="eastAsia" w:ascii="宋体" w:hAnsi="宋体"/>
          <w:color w:val="000000"/>
          <w:szCs w:val="21"/>
          <w:highlight w:val="none"/>
        </w:rPr>
        <w:t>3.2.3.</w:t>
      </w:r>
      <w:r>
        <w:rPr>
          <w:rFonts w:hint="eastAsia" w:ascii="宋体" w:hAnsi="宋体"/>
          <w:b/>
          <w:color w:val="000000"/>
          <w:szCs w:val="21"/>
          <w:highlight w:val="none"/>
          <w:u w:val="single"/>
        </w:rPr>
        <w:t>投标人参照招标文件的要求编制带有目录和页码并装订成册的投标文件。</w:t>
      </w:r>
    </w:p>
    <w:p w14:paraId="11E86DA6">
      <w:pPr>
        <w:tabs>
          <w:tab w:val="left" w:pos="1254"/>
        </w:tabs>
        <w:spacing w:line="360" w:lineRule="auto"/>
        <w:rPr>
          <w:rFonts w:ascii="宋体" w:hAnsi="宋体"/>
          <w:color w:val="000000"/>
          <w:szCs w:val="21"/>
          <w:highlight w:val="none"/>
        </w:rPr>
      </w:pPr>
      <w:r>
        <w:rPr>
          <w:rFonts w:hint="eastAsia" w:ascii="宋体" w:hAnsi="宋体"/>
          <w:color w:val="000000"/>
          <w:szCs w:val="21"/>
          <w:highlight w:val="none"/>
        </w:rPr>
        <w:t>3.2.4.投标人必须自行承担因其投标文件的任何错漏而导致的一切后果。</w:t>
      </w:r>
    </w:p>
    <w:p w14:paraId="07C645BA">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投标文件的修改和撤回</w:t>
      </w:r>
    </w:p>
    <w:p w14:paraId="6A1C52F3">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s="宋体"/>
          <w:color w:val="000000"/>
          <w:kern w:val="0"/>
          <w:szCs w:val="21"/>
          <w:highlight w:val="none"/>
        </w:rPr>
        <w:t>投标人在投标截止时间前，可以对所递交的投标文件进行补充、修改或者撤回，并书面通知采购代理机构。补充、修改的内容应当按招标文件要求签署、盖章，并作为投标文件的组成部分。</w:t>
      </w:r>
      <w:r>
        <w:rPr>
          <w:rFonts w:hint="eastAsia" w:ascii="宋体" w:hAnsi="宋体"/>
          <w:color w:val="000000"/>
          <w:szCs w:val="21"/>
          <w:highlight w:val="none"/>
        </w:rPr>
        <w:t>修改后的投标文件须按照本招标文件的相关规定在投标截止时间之前重新递交，否则，采购代理机构将拒绝接受修改后的投标文件。</w:t>
      </w:r>
    </w:p>
    <w:p w14:paraId="13D108D8">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投标截止时间之后，投标人不得对其投标文件做任何修改。从投标截止时间起至投标有效期前，投标人不得撤回其投标文件。</w:t>
      </w:r>
    </w:p>
    <w:p w14:paraId="7B6884BB">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采购代理机构对因不可抗力事件所造成投标文件的损坏、丢失不承担任何责任。</w:t>
      </w:r>
    </w:p>
    <w:p w14:paraId="5320137A">
      <w:pPr>
        <w:pStyle w:val="6"/>
        <w:numPr>
          <w:ilvl w:val="0"/>
          <w:numId w:val="3"/>
        </w:numPr>
        <w:spacing w:line="400" w:lineRule="exact"/>
        <w:rPr>
          <w:color w:val="000000"/>
          <w:sz w:val="21"/>
          <w:szCs w:val="21"/>
          <w:highlight w:val="none"/>
        </w:rPr>
      </w:pPr>
      <w:bookmarkStart w:id="48" w:name="_Toc185747581"/>
      <w:bookmarkStart w:id="49" w:name="_Toc228644973"/>
      <w:bookmarkStart w:id="50" w:name="_Toc238282335"/>
      <w:bookmarkStart w:id="51" w:name="_Toc225565948"/>
      <w:bookmarkStart w:id="52" w:name="_Toc224435721"/>
      <w:bookmarkStart w:id="53" w:name="_Toc228899502"/>
      <w:bookmarkStart w:id="54" w:name="_Toc223939096"/>
      <w:bookmarkStart w:id="55" w:name="_Toc334795451"/>
      <w:bookmarkStart w:id="56" w:name="_Toc61327402"/>
      <w:bookmarkStart w:id="57" w:name="_Toc130695595"/>
      <w:bookmarkStart w:id="58" w:name="_Toc153615292"/>
      <w:bookmarkStart w:id="59" w:name="_Toc130697187"/>
      <w:r>
        <w:rPr>
          <w:rFonts w:hint="eastAsia"/>
          <w:color w:val="000000"/>
          <w:sz w:val="21"/>
          <w:szCs w:val="21"/>
          <w:highlight w:val="none"/>
        </w:rPr>
        <w:t>投标总则</w:t>
      </w:r>
      <w:bookmarkEnd w:id="48"/>
      <w:bookmarkEnd w:id="49"/>
      <w:bookmarkEnd w:id="50"/>
      <w:bookmarkEnd w:id="51"/>
      <w:bookmarkEnd w:id="52"/>
      <w:bookmarkEnd w:id="53"/>
      <w:bookmarkEnd w:id="54"/>
      <w:bookmarkEnd w:id="55"/>
    </w:p>
    <w:p w14:paraId="2CAA29F9">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投标</w:t>
      </w:r>
    </w:p>
    <w:p w14:paraId="6C7757F5">
      <w:pPr>
        <w:spacing w:line="360" w:lineRule="auto"/>
        <w:ind w:firstLine="638" w:firstLineChars="304"/>
        <w:rPr>
          <w:rFonts w:ascii="宋体" w:hAnsi="宋体"/>
          <w:color w:val="000000"/>
          <w:szCs w:val="21"/>
          <w:highlight w:val="none"/>
        </w:rPr>
      </w:pPr>
      <w:r>
        <w:rPr>
          <w:rFonts w:hint="eastAsia" w:ascii="宋体" w:hAnsi="宋体"/>
          <w:color w:val="000000"/>
          <w:szCs w:val="21"/>
          <w:highlight w:val="none"/>
        </w:rPr>
        <w:t>全部投标文件应</w:t>
      </w:r>
      <w:r>
        <w:rPr>
          <w:rFonts w:hint="eastAsia" w:ascii="宋体" w:hAnsi="宋体"/>
          <w:color w:val="000000"/>
          <w:szCs w:val="21"/>
          <w:highlight w:val="none"/>
          <w:u w:val="single"/>
        </w:rPr>
        <w:t>一式伍</w:t>
      </w:r>
      <w:r>
        <w:rPr>
          <w:rFonts w:hint="eastAsia" w:ascii="宋体" w:hAnsi="宋体"/>
          <w:color w:val="000000"/>
          <w:szCs w:val="21"/>
          <w:highlight w:val="none"/>
        </w:rPr>
        <w:t>份，其中正本</w:t>
      </w:r>
      <w:r>
        <w:rPr>
          <w:rFonts w:hint="eastAsia" w:ascii="宋体" w:hAnsi="宋体"/>
          <w:color w:val="000000"/>
          <w:szCs w:val="21"/>
          <w:highlight w:val="none"/>
          <w:u w:val="single"/>
        </w:rPr>
        <w:t>壹</w:t>
      </w:r>
      <w:r>
        <w:rPr>
          <w:rFonts w:hint="eastAsia" w:ascii="宋体" w:hAnsi="宋体"/>
          <w:color w:val="000000"/>
          <w:szCs w:val="21"/>
          <w:highlight w:val="none"/>
        </w:rPr>
        <w:t>份，</w:t>
      </w:r>
      <w:r>
        <w:rPr>
          <w:rFonts w:hint="eastAsia" w:ascii="宋体" w:hAnsi="宋体"/>
          <w:color w:val="000000"/>
          <w:szCs w:val="21"/>
          <w:highlight w:val="none"/>
          <w:u w:val="single"/>
        </w:rPr>
        <w:t>副本肆</w:t>
      </w:r>
      <w:r>
        <w:rPr>
          <w:rFonts w:hint="eastAsia" w:ascii="宋体" w:hAnsi="宋体"/>
          <w:color w:val="000000"/>
          <w:szCs w:val="21"/>
          <w:highlight w:val="none"/>
        </w:rPr>
        <w:t>份。所有投标文件应用</w:t>
      </w:r>
      <w:r>
        <w:rPr>
          <w:rFonts w:hint="eastAsia" w:ascii="宋体" w:hAnsi="宋体"/>
          <w:color w:val="000000"/>
          <w:szCs w:val="21"/>
          <w:highlight w:val="none"/>
          <w:u w:val="single"/>
        </w:rPr>
        <w:t>A4</w:t>
      </w:r>
      <w:r>
        <w:rPr>
          <w:rFonts w:hint="eastAsia" w:ascii="宋体" w:hAnsi="宋体"/>
          <w:color w:val="000000"/>
          <w:szCs w:val="21"/>
          <w:highlight w:val="none"/>
        </w:rPr>
        <w:t>规格纸打印(</w:t>
      </w:r>
      <w:r>
        <w:rPr>
          <w:rFonts w:ascii="宋体" w:hAnsi="宋体"/>
          <w:color w:val="000000"/>
          <w:szCs w:val="21"/>
          <w:highlight w:val="none"/>
        </w:rPr>
        <w:t>投标文件正本应用A4规格纸打印，副本可以为正本复印件</w:t>
      </w:r>
      <w:r>
        <w:rPr>
          <w:rFonts w:hint="eastAsia" w:ascii="宋体" w:hAnsi="宋体"/>
          <w:color w:val="000000"/>
          <w:szCs w:val="21"/>
          <w:highlight w:val="none"/>
        </w:rPr>
        <w:t>，图纸可按其他规格），并装订成册。正本内装纸质投标文件，投标文件电子文档各</w:t>
      </w:r>
      <w:r>
        <w:rPr>
          <w:rFonts w:hint="eastAsia" w:ascii="宋体" w:hAnsi="宋体"/>
          <w:color w:val="000000"/>
          <w:szCs w:val="21"/>
          <w:highlight w:val="none"/>
          <w:u w:val="single"/>
        </w:rPr>
        <w:t>一</w:t>
      </w:r>
      <w:r>
        <w:rPr>
          <w:rFonts w:hint="eastAsia" w:ascii="宋体" w:hAnsi="宋体"/>
          <w:color w:val="000000"/>
          <w:szCs w:val="21"/>
          <w:highlight w:val="none"/>
        </w:rPr>
        <w:t>份，电子文件要求光盘或U盘介质，WORD或EXCEL格式，不留密码，无病毒，不压缩，内容应与投标人打印产生的纸质投标文件内容一致，如有不同，以纸质投标文件为准。投标文件于封面注明“正本”和“副本”。如果正本与副本不符，应以正本为准。投标文件应由投标人的合法授权代表正式签署，任何更改</w:t>
      </w:r>
      <w:r>
        <w:rPr>
          <w:rFonts w:ascii="宋体" w:hAnsi="宋体"/>
          <w:color w:val="000000"/>
          <w:szCs w:val="21"/>
          <w:highlight w:val="none"/>
        </w:rPr>
        <w:t>（</w:t>
      </w:r>
      <w:r>
        <w:rPr>
          <w:rFonts w:hint="eastAsia" w:ascii="宋体" w:hAnsi="宋体"/>
          <w:color w:val="000000"/>
          <w:szCs w:val="21"/>
          <w:highlight w:val="none"/>
        </w:rPr>
        <w:t>如果有的话</w:t>
      </w:r>
      <w:r>
        <w:rPr>
          <w:rFonts w:ascii="宋体" w:hAnsi="宋体"/>
          <w:color w:val="000000"/>
          <w:szCs w:val="21"/>
          <w:highlight w:val="none"/>
        </w:rPr>
        <w:t>）</w:t>
      </w:r>
      <w:r>
        <w:rPr>
          <w:rFonts w:hint="eastAsia" w:ascii="宋体" w:hAnsi="宋体"/>
          <w:color w:val="000000"/>
          <w:szCs w:val="21"/>
          <w:highlight w:val="none"/>
        </w:rPr>
        <w:t>应由原签署人签字。所有不完整的投标将被拒绝。无论投标结果如何，投标人的全部投标文件均不退回。</w:t>
      </w:r>
    </w:p>
    <w:p w14:paraId="49C2B82A">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投标人应对投标内容提供完整的详细的技术说明，如投标人对指定的技术要求建议做任何改动，应在投标文件中清楚地注明。</w:t>
      </w:r>
    </w:p>
    <w:p w14:paraId="1C5E5CFD">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投标人资格文件视为投标文件不可分割的一部分。</w:t>
      </w:r>
    </w:p>
    <w:p w14:paraId="264A5783">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 xml:space="preserve">所有投标文件应在投标截止时间前送达投标、开标地点，并交予采购代理机构专职人员，任何迟于截止时间的投标将被拒绝。 </w:t>
      </w:r>
    </w:p>
    <w:p w14:paraId="35F27963">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 xml:space="preserve">所有投标文件必须封入密封完好的信封或包装，封口加盖投标单位公章，并在每一信封或包装的封面上写明： </w:t>
      </w:r>
    </w:p>
    <w:tbl>
      <w:tblPr>
        <w:tblStyle w:val="22"/>
        <w:tblW w:w="0" w:type="auto"/>
        <w:tblInd w:w="63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85"/>
      </w:tblGrid>
      <w:tr w14:paraId="7FC5DE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21" w:hRule="atLeast"/>
        </w:trPr>
        <w:tc>
          <w:tcPr>
            <w:tcW w:w="8085" w:type="dxa"/>
          </w:tcPr>
          <w:p w14:paraId="02472B6B">
            <w:pPr>
              <w:spacing w:line="360" w:lineRule="auto"/>
              <w:ind w:left="450"/>
              <w:jc w:val="right"/>
              <w:rPr>
                <w:rFonts w:ascii="宋体" w:hAnsi="宋体"/>
                <w:color w:val="000000"/>
                <w:szCs w:val="21"/>
                <w:highlight w:val="none"/>
              </w:rPr>
            </w:pPr>
            <w:r>
              <w:rPr>
                <w:rFonts w:hint="eastAsia" w:ascii="宋体" w:hAnsi="宋体"/>
                <w:color w:val="000000"/>
                <w:szCs w:val="21"/>
                <w:highlight w:val="none"/>
              </w:rPr>
              <w:t>（正本/副本/唱标信封）</w:t>
            </w:r>
          </w:p>
          <w:p w14:paraId="57239316">
            <w:pPr>
              <w:spacing w:line="360" w:lineRule="auto"/>
              <w:ind w:left="450"/>
              <w:rPr>
                <w:rFonts w:ascii="宋体" w:hAnsi="宋体"/>
                <w:color w:val="000000"/>
                <w:szCs w:val="21"/>
                <w:highlight w:val="none"/>
              </w:rPr>
            </w:pPr>
            <w:r>
              <w:rPr>
                <w:rFonts w:hint="eastAsia" w:ascii="宋体" w:hAnsi="宋体"/>
                <w:color w:val="000000"/>
                <w:szCs w:val="21"/>
                <w:highlight w:val="none"/>
              </w:rPr>
              <w:t>收件人名称：广东群升招标代理有限公司</w:t>
            </w:r>
          </w:p>
          <w:p w14:paraId="722E6488">
            <w:pPr>
              <w:spacing w:line="360" w:lineRule="auto"/>
              <w:ind w:left="450"/>
              <w:rPr>
                <w:rFonts w:ascii="宋体" w:hAnsi="宋体"/>
                <w:color w:val="000000"/>
                <w:szCs w:val="21"/>
                <w:highlight w:val="none"/>
              </w:rPr>
            </w:pPr>
            <w:r>
              <w:rPr>
                <w:rFonts w:hint="eastAsia" w:ascii="宋体" w:hAnsi="宋体"/>
                <w:color w:val="000000"/>
                <w:szCs w:val="21"/>
                <w:highlight w:val="none"/>
              </w:rPr>
              <w:t xml:space="preserve">项目编号：                </w:t>
            </w:r>
          </w:p>
          <w:p w14:paraId="254B213C">
            <w:pPr>
              <w:spacing w:line="360" w:lineRule="auto"/>
              <w:ind w:left="450"/>
              <w:rPr>
                <w:rFonts w:ascii="宋体" w:hAnsi="宋体" w:cs="Tahoma"/>
                <w:color w:val="000000"/>
                <w:szCs w:val="21"/>
                <w:highlight w:val="none"/>
              </w:rPr>
            </w:pPr>
            <w:r>
              <w:rPr>
                <w:rFonts w:hint="eastAsia" w:ascii="宋体" w:hAnsi="宋体"/>
                <w:color w:val="000000"/>
                <w:szCs w:val="21"/>
                <w:highlight w:val="none"/>
              </w:rPr>
              <w:t>项目名称：</w:t>
            </w:r>
          </w:p>
          <w:p w14:paraId="49D338EF">
            <w:pPr>
              <w:spacing w:line="360" w:lineRule="auto"/>
              <w:ind w:left="450"/>
              <w:rPr>
                <w:rFonts w:ascii="宋体" w:hAnsi="宋体"/>
                <w:color w:val="000000"/>
                <w:szCs w:val="21"/>
                <w:highlight w:val="none"/>
              </w:rPr>
            </w:pPr>
            <w:r>
              <w:rPr>
                <w:rFonts w:hint="eastAsia" w:ascii="宋体" w:hAnsi="宋体"/>
                <w:color w:val="000000"/>
                <w:szCs w:val="21"/>
                <w:highlight w:val="none"/>
              </w:rPr>
              <w:t>投标人名称：</w:t>
            </w:r>
          </w:p>
          <w:p w14:paraId="71AB5333">
            <w:pPr>
              <w:spacing w:line="360" w:lineRule="auto"/>
              <w:ind w:left="450"/>
              <w:rPr>
                <w:rFonts w:ascii="宋体" w:hAnsi="宋体"/>
                <w:color w:val="000000"/>
                <w:szCs w:val="21"/>
                <w:highlight w:val="none"/>
              </w:rPr>
            </w:pPr>
            <w:r>
              <w:rPr>
                <w:rFonts w:hint="eastAsia" w:ascii="宋体" w:hAnsi="宋体"/>
                <w:color w:val="000000"/>
                <w:szCs w:val="21"/>
                <w:highlight w:val="none"/>
              </w:rPr>
              <w:t>投标人地址：</w:t>
            </w:r>
          </w:p>
          <w:p w14:paraId="3EA3E375">
            <w:pPr>
              <w:spacing w:line="360" w:lineRule="auto"/>
              <w:ind w:left="450"/>
              <w:rPr>
                <w:rFonts w:ascii="宋体" w:hAnsi="宋体"/>
                <w:color w:val="000000"/>
                <w:szCs w:val="21"/>
                <w:highlight w:val="none"/>
              </w:rPr>
            </w:pPr>
            <w:r>
              <w:rPr>
                <w:rFonts w:hint="eastAsia" w:ascii="宋体" w:hAnsi="宋体"/>
                <w:color w:val="000000"/>
                <w:szCs w:val="21"/>
                <w:highlight w:val="none"/>
              </w:rPr>
              <w:t xml:space="preserve">联 系 人：                        </w:t>
            </w:r>
          </w:p>
          <w:p w14:paraId="7EA75073">
            <w:pPr>
              <w:spacing w:line="360" w:lineRule="auto"/>
              <w:ind w:firstLine="210" w:firstLineChars="100"/>
              <w:rPr>
                <w:rFonts w:ascii="宋体" w:hAnsi="宋体"/>
                <w:color w:val="000000"/>
                <w:szCs w:val="21"/>
                <w:highlight w:val="none"/>
              </w:rPr>
            </w:pPr>
            <w:r>
              <w:rPr>
                <w:rFonts w:hint="eastAsia" w:ascii="宋体" w:hAnsi="宋体"/>
                <w:color w:val="000000"/>
                <w:szCs w:val="21"/>
                <w:highlight w:val="none"/>
              </w:rPr>
              <w:t xml:space="preserve">  联系电话：</w:t>
            </w:r>
          </w:p>
        </w:tc>
      </w:tr>
    </w:tbl>
    <w:p w14:paraId="26992DB2">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采购代理机构不接受电报、电话、电传、传真等非约定形式投标。</w:t>
      </w:r>
    </w:p>
    <w:p w14:paraId="2B149D44">
      <w:pPr>
        <w:numPr>
          <w:ilvl w:val="1"/>
          <w:numId w:val="3"/>
        </w:numPr>
        <w:spacing w:line="360" w:lineRule="auto"/>
        <w:outlineLvl w:val="3"/>
        <w:rPr>
          <w:rFonts w:ascii="宋体" w:hAnsi="宋体"/>
          <w:b/>
          <w:bCs/>
          <w:color w:val="000000"/>
          <w:szCs w:val="21"/>
          <w:highlight w:val="none"/>
        </w:rPr>
      </w:pPr>
      <w:r>
        <w:rPr>
          <w:rFonts w:hint="eastAsia" w:ascii="宋体" w:hAnsi="宋体"/>
          <w:b/>
          <w:bCs/>
          <w:color w:val="000000"/>
          <w:szCs w:val="21"/>
          <w:highlight w:val="none"/>
        </w:rPr>
        <w:t>投标有效期</w:t>
      </w:r>
    </w:p>
    <w:p w14:paraId="25BC8AD9">
      <w:pPr>
        <w:spacing w:line="360" w:lineRule="auto"/>
        <w:ind w:firstLine="522" w:firstLineChars="249"/>
        <w:rPr>
          <w:rFonts w:ascii="宋体" w:hAnsi="宋体"/>
          <w:color w:val="000000"/>
          <w:szCs w:val="21"/>
          <w:highlight w:val="none"/>
        </w:rPr>
      </w:pPr>
      <w:r>
        <w:rPr>
          <w:rFonts w:hint="eastAsia" w:ascii="宋体" w:hAnsi="宋体"/>
          <w:color w:val="000000"/>
          <w:szCs w:val="21"/>
          <w:highlight w:val="none"/>
        </w:rPr>
        <w:t>从投标截止日起，投标有效期为</w:t>
      </w:r>
      <w:r>
        <w:rPr>
          <w:rFonts w:hint="eastAsia" w:ascii="宋体" w:hAnsi="宋体"/>
          <w:color w:val="000000"/>
          <w:szCs w:val="21"/>
          <w:highlight w:val="none"/>
          <w:u w:val="single"/>
        </w:rPr>
        <w:t>90</w:t>
      </w:r>
      <w:r>
        <w:rPr>
          <w:rFonts w:hint="eastAsia" w:ascii="宋体" w:hAnsi="宋体"/>
          <w:color w:val="000000"/>
          <w:szCs w:val="21"/>
          <w:highlight w:val="none"/>
        </w:rPr>
        <w:t>天（日历天）。在特殊情况下，采购代理机构可于投标有效期满之前要求投标人同意延长有效期，要求与答复均应以书面形式。投标人可以拒绝上述要求，并被视为自动放弃投标，其投标保证金不被没收，同意延期的投标人根据原截止期享有之权利及其所负有的义务相应也延至新的截止期。</w:t>
      </w:r>
    </w:p>
    <w:p w14:paraId="2ECC163A">
      <w:pPr>
        <w:numPr>
          <w:ilvl w:val="1"/>
          <w:numId w:val="3"/>
        </w:numPr>
        <w:spacing w:line="360" w:lineRule="auto"/>
        <w:outlineLvl w:val="3"/>
        <w:rPr>
          <w:rFonts w:ascii="宋体" w:hAnsi="宋体" w:cs="宋体"/>
          <w:b/>
          <w:bCs/>
          <w:szCs w:val="21"/>
          <w:highlight w:val="none"/>
        </w:rPr>
      </w:pPr>
      <w:r>
        <w:rPr>
          <w:rFonts w:hint="eastAsia" w:ascii="宋体" w:hAnsi="宋体" w:cs="宋体"/>
          <w:b/>
          <w:bCs/>
          <w:szCs w:val="21"/>
          <w:highlight w:val="none"/>
        </w:rPr>
        <w:t>投标保证金</w:t>
      </w:r>
    </w:p>
    <w:p w14:paraId="7F887770">
      <w:pPr>
        <w:numPr>
          <w:ilvl w:val="2"/>
          <w:numId w:val="3"/>
        </w:numPr>
        <w:spacing w:line="360" w:lineRule="auto"/>
        <w:ind w:left="735" w:hanging="735"/>
        <w:rPr>
          <w:rFonts w:ascii="宋体" w:hAnsi="宋体" w:cs="宋体"/>
          <w:szCs w:val="21"/>
          <w:highlight w:val="none"/>
        </w:rPr>
      </w:pPr>
      <w:r>
        <w:rPr>
          <w:rFonts w:hint="eastAsia" w:ascii="宋体" w:hAnsi="宋体" w:cs="宋体"/>
          <w:szCs w:val="21"/>
          <w:highlight w:val="none"/>
        </w:rPr>
        <w:t>投标人应向采购代理机构交纳投标保证金人民币</w:t>
      </w:r>
      <w:r>
        <w:rPr>
          <w:rFonts w:hint="eastAsia" w:ascii="宋体" w:hAnsi="宋体" w:cs="宋体"/>
          <w:b/>
          <w:bCs/>
          <w:szCs w:val="21"/>
          <w:highlight w:val="none"/>
          <w:u w:val="single"/>
          <w:lang w:val="en-US" w:eastAsia="zh-CN"/>
        </w:rPr>
        <w:t>3</w:t>
      </w:r>
      <w:r>
        <w:rPr>
          <w:rFonts w:hint="eastAsia" w:ascii="宋体" w:hAnsi="宋体" w:cs="宋体"/>
          <w:b/>
          <w:bCs/>
          <w:szCs w:val="21"/>
          <w:highlight w:val="none"/>
          <w:u w:val="single"/>
        </w:rPr>
        <w:t>000.00</w:t>
      </w:r>
      <w:r>
        <w:rPr>
          <w:rFonts w:hint="eastAsia" w:ascii="宋体" w:hAnsi="宋体" w:cs="宋体"/>
          <w:szCs w:val="21"/>
          <w:highlight w:val="none"/>
          <w:u w:val="single"/>
        </w:rPr>
        <w:t>元</w:t>
      </w:r>
      <w:r>
        <w:rPr>
          <w:rFonts w:hint="eastAsia" w:ascii="宋体" w:hAnsi="宋体" w:cs="宋体"/>
          <w:szCs w:val="21"/>
          <w:highlight w:val="none"/>
        </w:rPr>
        <w:t>。</w:t>
      </w:r>
    </w:p>
    <w:p w14:paraId="4484819F">
      <w:pPr>
        <w:numPr>
          <w:ilvl w:val="2"/>
          <w:numId w:val="3"/>
        </w:numPr>
        <w:tabs>
          <w:tab w:val="left" w:pos="735"/>
        </w:tabs>
        <w:spacing w:line="360" w:lineRule="auto"/>
        <w:ind w:left="735" w:hanging="735"/>
        <w:rPr>
          <w:rFonts w:ascii="宋体" w:hAnsi="宋体" w:cs="宋体"/>
          <w:szCs w:val="21"/>
          <w:highlight w:val="none"/>
        </w:rPr>
      </w:pPr>
      <w:r>
        <w:rPr>
          <w:rFonts w:hint="eastAsia" w:ascii="宋体" w:hAnsi="宋体" w:cs="宋体"/>
          <w:szCs w:val="21"/>
          <w:highlight w:val="none"/>
        </w:rPr>
        <w:t>投标保证金为人民币，保证金应在投标截止时间之前（以到账的时间为准）以</w:t>
      </w:r>
      <w:r>
        <w:rPr>
          <w:rFonts w:hint="eastAsia" w:ascii="宋体" w:hAnsi="宋体" w:cs="宋体"/>
          <w:b/>
          <w:bCs/>
          <w:szCs w:val="21"/>
          <w:highlight w:val="none"/>
          <w:u w:val="single"/>
        </w:rPr>
        <w:t>银行划账或电汇</w:t>
      </w:r>
      <w:r>
        <w:rPr>
          <w:rFonts w:hint="eastAsia" w:ascii="宋体" w:hAnsi="宋体" w:cs="宋体"/>
          <w:szCs w:val="21"/>
          <w:highlight w:val="none"/>
        </w:rPr>
        <w:t>的方式到达以下账户（以收款行收到日期为准），或以金融机构、担保机构出具保函等非现金形式提交：</w:t>
      </w:r>
    </w:p>
    <w:p w14:paraId="064D99DC">
      <w:pPr>
        <w:spacing w:line="360" w:lineRule="auto"/>
        <w:ind w:firstLine="642" w:firstLineChars="306"/>
        <w:rPr>
          <w:rFonts w:ascii="宋体" w:hAnsi="宋体" w:cs="宋体"/>
          <w:szCs w:val="21"/>
          <w:highlight w:val="none"/>
        </w:rPr>
      </w:pPr>
      <w:r>
        <w:rPr>
          <w:rFonts w:hint="eastAsia" w:ascii="宋体" w:hAnsi="宋体" w:cs="宋体"/>
          <w:szCs w:val="21"/>
          <w:highlight w:val="none"/>
        </w:rPr>
        <w:t>收款单位名称：广东群升招标代理有限公司汕头分公司</w:t>
      </w:r>
    </w:p>
    <w:p w14:paraId="50E5072E">
      <w:pPr>
        <w:spacing w:line="360" w:lineRule="auto"/>
        <w:ind w:firstLine="630" w:firstLineChars="300"/>
        <w:rPr>
          <w:rFonts w:ascii="宋体" w:hAnsi="宋体" w:cs="宋体"/>
          <w:bCs/>
          <w:szCs w:val="21"/>
          <w:highlight w:val="none"/>
        </w:rPr>
      </w:pPr>
      <w:r>
        <w:rPr>
          <w:rFonts w:hint="eastAsia" w:ascii="宋体" w:hAnsi="宋体" w:cs="宋体"/>
          <w:bCs/>
          <w:szCs w:val="21"/>
          <w:highlight w:val="none"/>
        </w:rPr>
        <w:t>开户行：中国民生银行汕头荣兴支行</w:t>
      </w:r>
    </w:p>
    <w:p w14:paraId="466DFA7C">
      <w:pPr>
        <w:spacing w:line="360" w:lineRule="auto"/>
        <w:ind w:firstLine="630" w:firstLineChars="300"/>
        <w:rPr>
          <w:rFonts w:ascii="宋体" w:hAnsi="宋体" w:cs="宋体"/>
          <w:bCs/>
          <w:szCs w:val="21"/>
          <w:highlight w:val="none"/>
        </w:rPr>
      </w:pPr>
      <w:r>
        <w:rPr>
          <w:rFonts w:hint="eastAsia" w:ascii="宋体" w:hAnsi="宋体" w:cs="宋体"/>
          <w:bCs/>
          <w:szCs w:val="21"/>
          <w:highlight w:val="none"/>
        </w:rPr>
        <w:t>账号：156235731</w:t>
      </w:r>
      <w:r>
        <w:rPr>
          <w:rFonts w:hint="eastAsia" w:ascii="宋体" w:hAnsi="宋体" w:cs="宋体"/>
          <w:b/>
          <w:bCs/>
          <w:szCs w:val="21"/>
          <w:highlight w:val="none"/>
          <w:u w:val="single"/>
        </w:rPr>
        <w:t>（招标代理服务费请不要汇入此账号）</w:t>
      </w:r>
    </w:p>
    <w:p w14:paraId="1473DACA">
      <w:pPr>
        <w:spacing w:line="360" w:lineRule="auto"/>
        <w:ind w:firstLine="630" w:firstLineChars="300"/>
        <w:rPr>
          <w:rFonts w:ascii="宋体" w:hAnsi="宋体" w:cs="宋体"/>
          <w:bCs/>
          <w:szCs w:val="21"/>
          <w:highlight w:val="none"/>
        </w:rPr>
      </w:pPr>
      <w:r>
        <w:rPr>
          <w:rFonts w:hint="eastAsia" w:ascii="宋体" w:hAnsi="宋体" w:cs="宋体"/>
          <w:bCs/>
          <w:szCs w:val="21"/>
          <w:highlight w:val="none"/>
        </w:rPr>
        <w:t>财务联系人：张小姐        电话：0754-88896000</w:t>
      </w:r>
    </w:p>
    <w:p w14:paraId="40E341B7">
      <w:pPr>
        <w:spacing w:line="360" w:lineRule="auto"/>
        <w:ind w:firstLine="632" w:firstLineChars="300"/>
        <w:rPr>
          <w:rFonts w:ascii="宋体" w:hAnsi="宋体" w:cs="宋体"/>
          <w:b/>
          <w:bCs/>
          <w:szCs w:val="21"/>
          <w:highlight w:val="none"/>
        </w:rPr>
      </w:pPr>
      <w:r>
        <w:rPr>
          <w:rFonts w:hint="eastAsia" w:ascii="宋体" w:hAnsi="宋体" w:cs="宋体"/>
          <w:b/>
          <w:bCs/>
          <w:szCs w:val="21"/>
          <w:highlight w:val="none"/>
        </w:rPr>
        <w:t>请在银行进账单事由栏中注明“（</w:t>
      </w:r>
      <w:r>
        <w:rPr>
          <w:rFonts w:hint="eastAsia" w:ascii="宋体" w:hAnsi="宋体"/>
          <w:color w:val="000000"/>
          <w:highlight w:val="none"/>
          <w:u w:val="single" w:color="FFFFFF"/>
          <w:lang w:eastAsia="zh-CN"/>
        </w:rPr>
        <w:t xml:space="preserve"> GDQSST2024GG10001S</w:t>
      </w:r>
      <w:r>
        <w:rPr>
          <w:rFonts w:hint="eastAsia" w:ascii="宋体" w:hAnsi="宋体" w:cs="宋体"/>
          <w:b/>
          <w:bCs/>
          <w:szCs w:val="21"/>
          <w:highlight w:val="none"/>
        </w:rPr>
        <w:t>）”保证金。</w:t>
      </w:r>
    </w:p>
    <w:p w14:paraId="34291EBB">
      <w:pPr>
        <w:spacing w:line="360" w:lineRule="auto"/>
        <w:ind w:firstLine="632" w:firstLineChars="300"/>
        <w:rPr>
          <w:rFonts w:ascii="宋体" w:hAnsi="宋体" w:cs="宋体"/>
          <w:b/>
          <w:bCs/>
          <w:szCs w:val="21"/>
          <w:highlight w:val="none"/>
        </w:rPr>
      </w:pPr>
      <w:r>
        <w:rPr>
          <w:rFonts w:hint="eastAsia" w:ascii="宋体" w:hAnsi="宋体" w:cs="宋体"/>
          <w:b/>
          <w:bCs/>
          <w:szCs w:val="21"/>
          <w:highlight w:val="none"/>
        </w:rPr>
        <w:t>温馨提示：广东群升招标代理有限公司授权广东群升招标代理有限公司汕头分公司进行保证金收取，为防止投标截止时间前保证金未到我司制定账户导致投标无效，请尽早办理。</w:t>
      </w:r>
    </w:p>
    <w:p w14:paraId="6C44E369">
      <w:pPr>
        <w:numPr>
          <w:ilvl w:val="2"/>
          <w:numId w:val="3"/>
        </w:numPr>
        <w:tabs>
          <w:tab w:val="left" w:pos="735"/>
        </w:tabs>
        <w:spacing w:line="360" w:lineRule="auto"/>
        <w:ind w:left="735" w:hanging="735"/>
        <w:rPr>
          <w:rFonts w:ascii="宋体" w:hAnsi="宋体" w:cs="宋体"/>
          <w:b/>
          <w:bCs/>
          <w:szCs w:val="21"/>
          <w:highlight w:val="none"/>
          <w:u w:val="single"/>
          <w:lang w:val="en-GB"/>
        </w:rPr>
      </w:pPr>
      <w:r>
        <w:rPr>
          <w:rFonts w:hint="eastAsia" w:ascii="宋体" w:hAnsi="宋体" w:cs="宋体"/>
          <w:b/>
          <w:bCs/>
          <w:szCs w:val="21"/>
          <w:highlight w:val="none"/>
          <w:u w:val="single"/>
          <w:lang w:val="en-GB"/>
        </w:rPr>
        <w:t>递交投标文件时请将投标保证金汇款声明函或投标担保函（加盖公章，格式详见第五章）封入“唱标信封”里。</w:t>
      </w:r>
    </w:p>
    <w:p w14:paraId="1F2E8216">
      <w:pPr>
        <w:numPr>
          <w:ilvl w:val="2"/>
          <w:numId w:val="3"/>
        </w:numPr>
        <w:tabs>
          <w:tab w:val="left" w:pos="735"/>
        </w:tabs>
        <w:spacing w:line="360" w:lineRule="auto"/>
        <w:ind w:left="735" w:hanging="735"/>
        <w:rPr>
          <w:rFonts w:ascii="宋体" w:hAnsi="宋体" w:cs="宋体"/>
          <w:bCs/>
          <w:szCs w:val="21"/>
          <w:highlight w:val="none"/>
          <w:lang w:val="en-GB"/>
        </w:rPr>
      </w:pPr>
      <w:r>
        <w:rPr>
          <w:rFonts w:hint="eastAsia" w:ascii="宋体" w:hAnsi="宋体" w:cs="宋体"/>
          <w:bCs/>
          <w:szCs w:val="21"/>
          <w:highlight w:val="none"/>
          <w:lang w:val="en-GB"/>
        </w:rPr>
        <w:t>投标人未按上述规定交纳投标保证金的，其投标文件将被拒绝。</w:t>
      </w:r>
    </w:p>
    <w:p w14:paraId="4D4D043B">
      <w:pPr>
        <w:numPr>
          <w:ilvl w:val="2"/>
          <w:numId w:val="3"/>
        </w:numPr>
        <w:tabs>
          <w:tab w:val="left" w:pos="735"/>
        </w:tabs>
        <w:spacing w:line="360" w:lineRule="auto"/>
        <w:ind w:left="735" w:hanging="735"/>
        <w:rPr>
          <w:rFonts w:ascii="宋体" w:hAnsi="宋体" w:cs="宋体"/>
          <w:bCs/>
          <w:szCs w:val="21"/>
          <w:highlight w:val="none"/>
          <w:lang w:val="en-GB"/>
        </w:rPr>
      </w:pPr>
      <w:r>
        <w:rPr>
          <w:rFonts w:hint="eastAsia" w:ascii="宋体" w:hAnsi="宋体" w:cs="宋体"/>
          <w:bCs/>
          <w:szCs w:val="21"/>
          <w:highlight w:val="none"/>
          <w:lang w:val="en-GB"/>
        </w:rPr>
        <w:t>采购代理机构应当在中标通知书发出后五个工作日内退还未中标投标人的投标保证金，在采购合同签订后五个工作日内退还中标投标人的投标保证金。在投标有效期内不能确定中标投标人的，在投标有效期满后五个工作日内，退回所有投标人的投标保证金。</w:t>
      </w:r>
    </w:p>
    <w:p w14:paraId="4A38B4F9">
      <w:pPr>
        <w:numPr>
          <w:ilvl w:val="2"/>
          <w:numId w:val="3"/>
        </w:numPr>
        <w:tabs>
          <w:tab w:val="left" w:pos="735"/>
        </w:tabs>
        <w:spacing w:line="360" w:lineRule="auto"/>
        <w:ind w:left="735" w:hanging="735"/>
        <w:rPr>
          <w:rFonts w:ascii="宋体" w:hAnsi="宋体" w:cs="宋体"/>
          <w:bCs/>
          <w:szCs w:val="21"/>
          <w:highlight w:val="none"/>
        </w:rPr>
      </w:pPr>
      <w:bookmarkStart w:id="60" w:name="_Toc179614156"/>
      <w:bookmarkStart w:id="61" w:name="_Toc167617646"/>
      <w:r>
        <w:rPr>
          <w:rFonts w:hint="eastAsia" w:ascii="宋体" w:hAnsi="宋体" w:cs="宋体"/>
          <w:bCs/>
          <w:szCs w:val="21"/>
          <w:highlight w:val="none"/>
        </w:rPr>
        <w:t>中标人有下列情形之一的，招标采购单位不予退还其交纳的投标保证金；情节严重的，由</w:t>
      </w:r>
      <w:r>
        <w:rPr>
          <w:rFonts w:hint="eastAsia" w:ascii="宋体" w:hAnsi="宋体" w:cs="宋体"/>
          <w:bCs/>
          <w:szCs w:val="21"/>
          <w:highlight w:val="none"/>
          <w:lang w:eastAsia="zh-CN"/>
        </w:rPr>
        <w:t>采购人监管部</w:t>
      </w:r>
      <w:r>
        <w:rPr>
          <w:rFonts w:hint="eastAsia" w:ascii="宋体" w:hAnsi="宋体" w:cs="宋体"/>
          <w:bCs/>
          <w:szCs w:val="21"/>
          <w:highlight w:val="none"/>
        </w:rPr>
        <w:t>门将其列入不良行为记录名单，在一至三年内禁止参加</w:t>
      </w:r>
      <w:r>
        <w:rPr>
          <w:rFonts w:hint="eastAsia" w:ascii="宋体" w:hAnsi="宋体" w:cs="宋体"/>
          <w:bCs/>
          <w:szCs w:val="21"/>
          <w:highlight w:val="none"/>
          <w:lang w:eastAsia="zh-CN"/>
        </w:rPr>
        <w:t>企业</w:t>
      </w:r>
      <w:r>
        <w:rPr>
          <w:rFonts w:hint="eastAsia" w:ascii="宋体" w:hAnsi="宋体" w:cs="宋体"/>
          <w:bCs/>
          <w:szCs w:val="21"/>
          <w:highlight w:val="none"/>
        </w:rPr>
        <w:t>采购活动，并予以通报：</w:t>
      </w:r>
    </w:p>
    <w:bookmarkEnd w:id="56"/>
    <w:bookmarkEnd w:id="60"/>
    <w:bookmarkEnd w:id="61"/>
    <w:p w14:paraId="594BB73B">
      <w:pPr>
        <w:numPr>
          <w:ilvl w:val="0"/>
          <w:numId w:val="0"/>
        </w:numPr>
        <w:tabs>
          <w:tab w:val="left" w:pos="735"/>
        </w:tabs>
        <w:spacing w:line="360" w:lineRule="auto"/>
        <w:ind w:leftChars="0" w:firstLine="630" w:firstLineChars="300"/>
        <w:rPr>
          <w:rFonts w:hint="eastAsia" w:ascii="宋体" w:hAnsi="宋体" w:eastAsia="宋体" w:cs="宋体"/>
          <w:color w:val="auto"/>
          <w:sz w:val="21"/>
          <w:szCs w:val="21"/>
          <w:highlight w:val="none"/>
        </w:rPr>
      </w:pPr>
      <w:bookmarkStart w:id="62" w:name="_Toc225565949"/>
      <w:bookmarkStart w:id="63" w:name="_Toc223939097"/>
      <w:bookmarkStart w:id="64" w:name="_Toc224435722"/>
      <w:bookmarkStart w:id="65" w:name="_Toc334795452"/>
      <w:bookmarkStart w:id="66" w:name="_Toc185747582"/>
      <w:bookmarkStart w:id="67" w:name="_Toc238282336"/>
      <w:bookmarkStart w:id="68" w:name="_Toc228899503"/>
      <w:bookmarkStart w:id="69" w:name="_Toc228644974"/>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在参与报价活动期间，违反有关法律法规及采</w:t>
      </w:r>
      <w:r>
        <w:rPr>
          <w:rFonts w:hint="eastAsia" w:ascii="宋体" w:hAnsi="宋体" w:eastAsia="宋体" w:cs="宋体"/>
          <w:color w:val="auto"/>
          <w:sz w:val="21"/>
          <w:szCs w:val="21"/>
          <w:highlight w:val="none"/>
          <w:lang w:eastAsia="zh-CN"/>
        </w:rPr>
        <w:t>购</w:t>
      </w:r>
      <w:r>
        <w:rPr>
          <w:rFonts w:hint="eastAsia" w:ascii="宋体" w:hAnsi="宋体" w:eastAsia="宋体" w:cs="宋体"/>
          <w:color w:val="auto"/>
          <w:sz w:val="21"/>
          <w:szCs w:val="21"/>
          <w:highlight w:val="none"/>
        </w:rPr>
        <w:t>管理部门规定的；</w:t>
      </w:r>
    </w:p>
    <w:p w14:paraId="430BDB47">
      <w:pPr>
        <w:numPr>
          <w:ilvl w:val="0"/>
          <w:numId w:val="0"/>
        </w:numPr>
        <w:tabs>
          <w:tab w:val="left" w:pos="735"/>
        </w:tabs>
        <w:spacing w:line="360" w:lineRule="auto"/>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在收到</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rPr>
        <w:t>通知书后，在</w:t>
      </w:r>
      <w:r>
        <w:rPr>
          <w:rFonts w:hint="eastAsia" w:ascii="宋体" w:hAnsi="宋体" w:eastAsia="宋体" w:cs="宋体"/>
          <w:color w:val="auto"/>
          <w:sz w:val="21"/>
          <w:szCs w:val="21"/>
          <w:highlight w:val="none"/>
          <w:lang w:eastAsia="zh-CN"/>
        </w:rPr>
        <w:t>招标文件</w:t>
      </w:r>
      <w:r>
        <w:rPr>
          <w:rFonts w:hint="eastAsia" w:ascii="宋体" w:hAnsi="宋体" w:eastAsia="宋体" w:cs="宋体"/>
          <w:color w:val="auto"/>
          <w:sz w:val="21"/>
          <w:szCs w:val="21"/>
          <w:highlight w:val="none"/>
        </w:rPr>
        <w:t>规定的时间内无正当理由不与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或者采购代理机构签订合同的；</w:t>
      </w:r>
    </w:p>
    <w:p w14:paraId="3CB298FD">
      <w:pPr>
        <w:numPr>
          <w:ilvl w:val="0"/>
          <w:numId w:val="0"/>
        </w:numPr>
        <w:tabs>
          <w:tab w:val="left" w:pos="735"/>
        </w:tabs>
        <w:spacing w:line="360" w:lineRule="auto"/>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（3）将</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rPr>
        <w:t>项目转让给他人，或者在</w:t>
      </w:r>
      <w:r>
        <w:rPr>
          <w:rFonts w:hint="eastAsia" w:ascii="宋体" w:hAnsi="宋体" w:eastAsia="宋体" w:cs="宋体"/>
          <w:color w:val="auto"/>
          <w:sz w:val="21"/>
          <w:szCs w:val="21"/>
          <w:highlight w:val="none"/>
          <w:lang w:eastAsia="zh-CN"/>
        </w:rPr>
        <w:t>投标文件</w:t>
      </w:r>
      <w:r>
        <w:rPr>
          <w:rFonts w:hint="eastAsia" w:ascii="宋体" w:hAnsi="宋体" w:eastAsia="宋体" w:cs="宋体"/>
          <w:color w:val="auto"/>
          <w:sz w:val="21"/>
          <w:szCs w:val="21"/>
          <w:highlight w:val="none"/>
        </w:rPr>
        <w:t>中未说明，且未经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同意，将</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rPr>
        <w:t>项目分包给他人的；</w:t>
      </w:r>
    </w:p>
    <w:p w14:paraId="0B2869CB">
      <w:pPr>
        <w:numPr>
          <w:ilvl w:val="0"/>
          <w:numId w:val="0"/>
        </w:numPr>
        <w:tabs>
          <w:tab w:val="left" w:pos="735"/>
        </w:tabs>
        <w:spacing w:line="360" w:lineRule="auto"/>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（4）拒绝履行合同义务的；</w:t>
      </w:r>
    </w:p>
    <w:p w14:paraId="4D843E35">
      <w:pPr>
        <w:numPr>
          <w:ilvl w:val="0"/>
          <w:numId w:val="0"/>
        </w:numPr>
        <w:tabs>
          <w:tab w:val="left" w:pos="735"/>
        </w:tabs>
        <w:spacing w:line="360" w:lineRule="auto"/>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（5）其他违法、违规行为的。</w:t>
      </w:r>
    </w:p>
    <w:p w14:paraId="2EF61486">
      <w:pPr>
        <w:pStyle w:val="6"/>
        <w:numPr>
          <w:ilvl w:val="0"/>
          <w:numId w:val="3"/>
        </w:numPr>
        <w:spacing w:line="400" w:lineRule="exact"/>
        <w:rPr>
          <w:color w:val="000000"/>
          <w:sz w:val="21"/>
          <w:szCs w:val="21"/>
          <w:highlight w:val="none"/>
        </w:rPr>
      </w:pPr>
      <w:r>
        <w:rPr>
          <w:rFonts w:hint="eastAsia"/>
          <w:color w:val="000000"/>
          <w:sz w:val="21"/>
          <w:szCs w:val="21"/>
          <w:highlight w:val="none"/>
        </w:rPr>
        <w:t>开标、评标、定标与签约</w:t>
      </w:r>
      <w:bookmarkEnd w:id="62"/>
      <w:bookmarkEnd w:id="63"/>
      <w:bookmarkEnd w:id="64"/>
      <w:bookmarkEnd w:id="65"/>
      <w:bookmarkEnd w:id="66"/>
      <w:bookmarkEnd w:id="67"/>
      <w:bookmarkEnd w:id="68"/>
      <w:bookmarkEnd w:id="69"/>
    </w:p>
    <w:p w14:paraId="22E88A64">
      <w:pPr>
        <w:numPr>
          <w:ilvl w:val="1"/>
          <w:numId w:val="3"/>
        </w:numPr>
        <w:spacing w:beforeLines="50" w:line="360" w:lineRule="auto"/>
        <w:outlineLvl w:val="3"/>
        <w:rPr>
          <w:rFonts w:ascii="宋体" w:hAnsi="宋体"/>
          <w:b/>
          <w:bCs/>
          <w:color w:val="000000"/>
          <w:szCs w:val="21"/>
          <w:highlight w:val="none"/>
        </w:rPr>
      </w:pPr>
      <w:r>
        <w:rPr>
          <w:rFonts w:hint="eastAsia" w:ascii="宋体" w:hAnsi="宋体"/>
          <w:b/>
          <w:bCs/>
          <w:color w:val="000000"/>
          <w:szCs w:val="21"/>
          <w:highlight w:val="none"/>
        </w:rPr>
        <w:t>开标</w:t>
      </w:r>
    </w:p>
    <w:p w14:paraId="703F12FC">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开标在招标文件确定的投标文件递交截止时间的同一时间公开进行，开标地点为招标文件预先确定的地点。</w:t>
      </w:r>
    </w:p>
    <w:p w14:paraId="46F09AEA">
      <w:pPr>
        <w:numPr>
          <w:ilvl w:val="2"/>
          <w:numId w:val="3"/>
        </w:numPr>
        <w:tabs>
          <w:tab w:val="left" w:pos="735"/>
        </w:tabs>
        <w:spacing w:line="360" w:lineRule="auto"/>
        <w:ind w:left="735" w:hanging="735"/>
        <w:rPr>
          <w:rFonts w:ascii="宋体" w:hAnsi="宋体"/>
          <w:b/>
          <w:bCs/>
          <w:color w:val="000000"/>
          <w:szCs w:val="21"/>
          <w:highlight w:val="none"/>
          <w:u w:val="single"/>
        </w:rPr>
      </w:pPr>
      <w:r>
        <w:rPr>
          <w:rFonts w:hint="eastAsia" w:ascii="宋体" w:hAnsi="宋体"/>
          <w:b/>
          <w:bCs/>
          <w:color w:val="000000"/>
          <w:szCs w:val="21"/>
          <w:highlight w:val="none"/>
          <w:u w:val="single"/>
        </w:rPr>
        <w:t>开标由采购代理机构主持，邀请所有投标人授权代表持本人身份证原件、法定代表人证明及授权书参加。经核实非投标人授权代表本人的，不得参加开标会。投标人不派出其授权代表参加开标会的，视为完全同意开标内容及对开标会过程无异议。</w:t>
      </w:r>
    </w:p>
    <w:p w14:paraId="279ED7D5">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在招标文件要求的截止时间前提交的投标文件，开标时，由监督人员、投标人代表或投标人代表共同推选的代表检查投标文件的密封情况，也可以由采购人委托的公证机构检查并公证；采购人或采购代理机构有权不接收密封不完整的投标文件。</w:t>
      </w:r>
    </w:p>
    <w:p w14:paraId="09DAA8D5">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经检查密封完好的投标文件，由工作人员当众拆封，宣读投标人名称、投标价格和投标文件的其他主要内容。</w:t>
      </w:r>
    </w:p>
    <w:p w14:paraId="67B48EE5">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提交投标文件的截止时间前，应接收的投标人少于三家时，则招标失败，已递交的投标文件原封退回。</w:t>
      </w:r>
    </w:p>
    <w:p w14:paraId="6F8EC4DB">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开标会记录人应在开标记录表上记录唱标内容，并当场公示。</w:t>
      </w:r>
    </w:p>
    <w:p w14:paraId="7468B1AA">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如开标记录表上内容与投标文件不一致时，投标人代表须当场提出。开标记录表由记录人、唱标人、投标人代表和有关人员签字确认。</w:t>
      </w:r>
    </w:p>
    <w:p w14:paraId="1C43458D">
      <w:pPr>
        <w:numPr>
          <w:ilvl w:val="1"/>
          <w:numId w:val="3"/>
        </w:numPr>
        <w:spacing w:beforeLines="50" w:line="360" w:lineRule="auto"/>
        <w:outlineLvl w:val="3"/>
        <w:rPr>
          <w:rFonts w:ascii="宋体" w:hAnsi="宋体"/>
          <w:color w:val="000000"/>
          <w:szCs w:val="21"/>
          <w:highlight w:val="none"/>
        </w:rPr>
      </w:pPr>
      <w:r>
        <w:rPr>
          <w:rFonts w:hint="eastAsia" w:ascii="宋体" w:hAnsi="宋体"/>
          <w:b/>
          <w:bCs/>
          <w:color w:val="000000"/>
          <w:szCs w:val="21"/>
          <w:highlight w:val="none"/>
        </w:rPr>
        <w:t>评标</w:t>
      </w:r>
    </w:p>
    <w:p w14:paraId="5C194447">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评标原则</w:t>
      </w:r>
    </w:p>
    <w:p w14:paraId="64D147B0">
      <w:pPr>
        <w:numPr>
          <w:ilvl w:val="0"/>
          <w:numId w:val="4"/>
        </w:numPr>
        <w:spacing w:line="360" w:lineRule="auto"/>
        <w:rPr>
          <w:rFonts w:ascii="宋体" w:hAnsi="宋体"/>
          <w:bCs/>
          <w:color w:val="000000"/>
          <w:szCs w:val="21"/>
          <w:highlight w:val="none"/>
        </w:rPr>
      </w:pPr>
      <w:r>
        <w:rPr>
          <w:rFonts w:hint="eastAsia" w:ascii="宋体" w:hAnsi="宋体"/>
          <w:bCs/>
          <w:color w:val="000000"/>
          <w:szCs w:val="21"/>
          <w:highlight w:val="none"/>
        </w:rPr>
        <w:t>评标遵循公平、公正、科学、择优的原则。</w:t>
      </w:r>
    </w:p>
    <w:p w14:paraId="5998C058">
      <w:pPr>
        <w:numPr>
          <w:ilvl w:val="0"/>
          <w:numId w:val="4"/>
        </w:numPr>
        <w:spacing w:line="360" w:lineRule="auto"/>
        <w:rPr>
          <w:rFonts w:ascii="宋体" w:hAnsi="宋体"/>
          <w:bCs/>
          <w:color w:val="000000"/>
          <w:szCs w:val="21"/>
          <w:highlight w:val="none"/>
        </w:rPr>
      </w:pPr>
      <w:r>
        <w:rPr>
          <w:rFonts w:hint="eastAsia" w:ascii="宋体" w:hAnsi="宋体"/>
          <w:bCs/>
          <w:color w:val="000000"/>
          <w:szCs w:val="21"/>
          <w:highlight w:val="none"/>
        </w:rPr>
        <w:t>确定中标人的评标准则是：在最大限度地满足招标文件实质性要求前提下，按照招标文件中规定的各项因素进行综合评审后，以评标总得分最高的投标人作为中标候选人，其余按规定依次为中标备选人（如有），由采购人按顺序确定中标人。</w:t>
      </w:r>
    </w:p>
    <w:p w14:paraId="2DDFE050">
      <w:pPr>
        <w:numPr>
          <w:ilvl w:val="0"/>
          <w:numId w:val="4"/>
        </w:numPr>
        <w:spacing w:line="360" w:lineRule="auto"/>
        <w:rPr>
          <w:rFonts w:ascii="宋体" w:hAnsi="宋体"/>
          <w:bCs/>
          <w:color w:val="000000"/>
          <w:szCs w:val="21"/>
          <w:highlight w:val="none"/>
        </w:rPr>
      </w:pPr>
      <w:r>
        <w:rPr>
          <w:rFonts w:hint="eastAsia" w:ascii="宋体" w:hAnsi="宋体"/>
          <w:bCs/>
          <w:color w:val="000000"/>
          <w:szCs w:val="21"/>
          <w:highlight w:val="none"/>
        </w:rPr>
        <w:t>评标委员会经评审，认为所有投标都不符合招标文件要求的，可以否决所有投标。</w:t>
      </w:r>
    </w:p>
    <w:p w14:paraId="7453EB42">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评标过程的保密性</w:t>
      </w:r>
    </w:p>
    <w:p w14:paraId="70579723">
      <w:pPr>
        <w:numPr>
          <w:ilvl w:val="0"/>
          <w:numId w:val="5"/>
        </w:numPr>
        <w:spacing w:line="360" w:lineRule="auto"/>
        <w:rPr>
          <w:rFonts w:ascii="宋体" w:hAnsi="宋体"/>
          <w:bCs/>
          <w:color w:val="000000"/>
          <w:szCs w:val="21"/>
          <w:highlight w:val="none"/>
        </w:rPr>
      </w:pPr>
      <w:r>
        <w:rPr>
          <w:rFonts w:hint="eastAsia" w:ascii="宋体" w:hAnsi="宋体"/>
          <w:bCs/>
          <w:color w:val="000000"/>
          <w:szCs w:val="21"/>
          <w:highlight w:val="none"/>
        </w:rPr>
        <w:t xml:space="preserve">开标后，直至向中标的投标人授予合同时止，凡与评标过程和结果的资料以及授标意见等，均不得向投标人及与评标无关的其他人透露。 </w:t>
      </w:r>
    </w:p>
    <w:p w14:paraId="23E565A7">
      <w:pPr>
        <w:numPr>
          <w:ilvl w:val="0"/>
          <w:numId w:val="5"/>
        </w:numPr>
        <w:spacing w:line="360" w:lineRule="auto"/>
        <w:rPr>
          <w:rFonts w:ascii="宋体" w:hAnsi="宋体"/>
          <w:bCs/>
          <w:color w:val="000000"/>
          <w:szCs w:val="21"/>
          <w:highlight w:val="none"/>
        </w:rPr>
      </w:pPr>
      <w:r>
        <w:rPr>
          <w:rFonts w:hint="eastAsia" w:ascii="宋体" w:hAnsi="宋体"/>
          <w:bCs/>
          <w:color w:val="000000"/>
          <w:szCs w:val="21"/>
          <w:highlight w:val="none"/>
        </w:rPr>
        <w:t>评审委员会成员评审时，应各自独立进行评审，不得发表任何具有倾向性、诱导性或歧视性的见解，不得对其他评委的评审意见施加任何影响。</w:t>
      </w:r>
    </w:p>
    <w:p w14:paraId="7695B931">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投标文件的澄清</w:t>
      </w:r>
    </w:p>
    <w:p w14:paraId="5FE89965">
      <w:pPr>
        <w:numPr>
          <w:ilvl w:val="0"/>
          <w:numId w:val="6"/>
        </w:numPr>
        <w:spacing w:line="360" w:lineRule="auto"/>
        <w:rPr>
          <w:rFonts w:ascii="宋体" w:hAnsi="宋体"/>
          <w:bCs/>
          <w:color w:val="000000"/>
          <w:szCs w:val="21"/>
          <w:highlight w:val="none"/>
        </w:rPr>
      </w:pPr>
      <w:r>
        <w:rPr>
          <w:rFonts w:hint="eastAsia" w:ascii="宋体" w:hAnsi="宋体"/>
          <w:bCs/>
          <w:color w:val="000000"/>
          <w:szCs w:val="21"/>
          <w:highlight w:val="none"/>
        </w:rPr>
        <w:t>除评标委员会主动要求澄清外，从开标后至授予合同期间，任何投标人均不得就与其投标相关的任何问题与评标委员会联系。</w:t>
      </w:r>
    </w:p>
    <w:p w14:paraId="7BCE17AE">
      <w:pPr>
        <w:numPr>
          <w:ilvl w:val="0"/>
          <w:numId w:val="6"/>
        </w:numPr>
        <w:spacing w:line="360" w:lineRule="auto"/>
        <w:rPr>
          <w:rFonts w:ascii="宋体" w:hAnsi="宋体"/>
          <w:bCs/>
          <w:color w:val="000000"/>
          <w:szCs w:val="21"/>
          <w:highlight w:val="none"/>
        </w:rPr>
      </w:pPr>
      <w:r>
        <w:rPr>
          <w:rFonts w:hint="eastAsia" w:ascii="宋体" w:hAnsi="宋体"/>
          <w:bCs/>
          <w:color w:val="000000"/>
          <w:szCs w:val="21"/>
          <w:highlight w:val="none"/>
        </w:rPr>
        <w:t>根据有关法律法规的规定，评审委员会需要投标人进行澄清的，应签署书面意见，由采购代理机构当场书面或电话告知投标人，投标人可在评标限定的时间内以书面形式或电话方式澄清，投标人合法授权代表正式签署的答复经评标委员会认可后，可作为投标文件的一部分参与评标。除上述情形外，评审委员会不再接受其他外部材料。</w:t>
      </w:r>
    </w:p>
    <w:p w14:paraId="0A57EEE9">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评标程序及方法（详见《第六章 开标、评标和定标》）</w:t>
      </w:r>
    </w:p>
    <w:p w14:paraId="5FA9B65C">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相关注意事项</w:t>
      </w:r>
    </w:p>
    <w:p w14:paraId="0034DCAF">
      <w:pPr>
        <w:numPr>
          <w:ilvl w:val="0"/>
          <w:numId w:val="7"/>
        </w:numPr>
        <w:spacing w:line="360" w:lineRule="auto"/>
        <w:rPr>
          <w:rFonts w:ascii="宋体" w:hAnsi="宋体"/>
          <w:bCs/>
          <w:color w:val="000000"/>
          <w:szCs w:val="21"/>
          <w:highlight w:val="none"/>
        </w:rPr>
      </w:pPr>
      <w:r>
        <w:rPr>
          <w:rFonts w:hint="eastAsia" w:ascii="宋体" w:hAnsi="宋体"/>
          <w:bCs/>
          <w:color w:val="000000"/>
          <w:szCs w:val="21"/>
          <w:highlight w:val="none"/>
        </w:rPr>
        <w:t>评标是招标工作的重要环节，评标工作由评标委员会独立进行。评标委员会将遵照评标原则，公正、平等的对待所有投标人。</w:t>
      </w:r>
    </w:p>
    <w:p w14:paraId="78CA9720">
      <w:pPr>
        <w:numPr>
          <w:ilvl w:val="0"/>
          <w:numId w:val="7"/>
        </w:numPr>
        <w:spacing w:line="360" w:lineRule="auto"/>
        <w:rPr>
          <w:rFonts w:ascii="宋体" w:hAnsi="宋体"/>
          <w:bCs/>
          <w:color w:val="000000"/>
          <w:szCs w:val="21"/>
          <w:highlight w:val="none"/>
        </w:rPr>
      </w:pPr>
      <w:r>
        <w:rPr>
          <w:rFonts w:hint="eastAsia" w:ascii="宋体" w:hAnsi="宋体"/>
          <w:bCs/>
          <w:color w:val="000000"/>
          <w:szCs w:val="21"/>
          <w:highlight w:val="none"/>
        </w:rPr>
        <w:t>在开标、评标期间，投标人不得向评委询问评标情况，不得进行旨在影响评标结果的活动。</w:t>
      </w:r>
    </w:p>
    <w:p w14:paraId="2B5FB006">
      <w:pPr>
        <w:numPr>
          <w:ilvl w:val="0"/>
          <w:numId w:val="7"/>
        </w:numPr>
        <w:spacing w:line="360" w:lineRule="auto"/>
        <w:rPr>
          <w:rFonts w:ascii="宋体" w:hAnsi="宋体"/>
          <w:bCs/>
          <w:color w:val="000000"/>
          <w:szCs w:val="21"/>
          <w:highlight w:val="none"/>
        </w:rPr>
      </w:pPr>
      <w:r>
        <w:rPr>
          <w:rFonts w:hint="eastAsia" w:ascii="宋体" w:hAnsi="宋体"/>
          <w:bCs/>
          <w:color w:val="000000"/>
          <w:szCs w:val="21"/>
          <w:highlight w:val="none"/>
        </w:rPr>
        <w:t>为保证定标的公正性，在评标过程中，评委不得与投标人私下交换意见。在招标工作结束后，凡与评标过程有接触的任何人，不得将评标情况扩散给与评标无关的人员。</w:t>
      </w:r>
    </w:p>
    <w:p w14:paraId="36B3BEEC">
      <w:pPr>
        <w:numPr>
          <w:ilvl w:val="0"/>
          <w:numId w:val="7"/>
        </w:numPr>
        <w:spacing w:line="360" w:lineRule="auto"/>
        <w:rPr>
          <w:rFonts w:ascii="宋体" w:hAnsi="宋体"/>
          <w:color w:val="000000"/>
          <w:szCs w:val="21"/>
          <w:highlight w:val="none"/>
        </w:rPr>
      </w:pPr>
      <w:r>
        <w:rPr>
          <w:rFonts w:hint="eastAsia" w:ascii="宋体" w:hAnsi="宋体"/>
          <w:bCs/>
          <w:color w:val="000000"/>
          <w:szCs w:val="21"/>
          <w:highlight w:val="none"/>
        </w:rPr>
        <w:t>评标委员会不直接向落标方解释落标原因，不退回投标文件。</w:t>
      </w:r>
    </w:p>
    <w:p w14:paraId="430FA32C">
      <w:pPr>
        <w:numPr>
          <w:ilvl w:val="1"/>
          <w:numId w:val="3"/>
        </w:numPr>
        <w:spacing w:beforeLines="50" w:line="360" w:lineRule="auto"/>
        <w:outlineLvl w:val="3"/>
        <w:rPr>
          <w:rFonts w:ascii="宋体" w:hAnsi="宋体"/>
          <w:b/>
          <w:bCs/>
          <w:color w:val="000000"/>
          <w:szCs w:val="21"/>
          <w:highlight w:val="none"/>
        </w:rPr>
      </w:pPr>
      <w:r>
        <w:rPr>
          <w:rFonts w:hint="eastAsia" w:ascii="宋体" w:hAnsi="宋体"/>
          <w:b/>
          <w:bCs/>
          <w:color w:val="000000"/>
          <w:szCs w:val="21"/>
          <w:highlight w:val="none"/>
        </w:rPr>
        <w:t>定标</w:t>
      </w:r>
    </w:p>
    <w:p w14:paraId="6937CA34">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采购人确认结果后，由采购代理机构将结果在法定网站上进行公示。</w:t>
      </w:r>
    </w:p>
    <w:p w14:paraId="3551BF81">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bCs/>
          <w:color w:val="000000"/>
          <w:szCs w:val="21"/>
          <w:highlight w:val="none"/>
        </w:rPr>
        <w:t>公示期满后，由采购代理机构向中标人发出《中标通知书》，并同时将中标结果以网上公告的方式通知所有未中标的投标人。</w:t>
      </w:r>
    </w:p>
    <w:p w14:paraId="1EFDC275">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中标人应按招标文件规定向采购人提交相应文件，并在规定时间内与采购人签订合同。</w:t>
      </w:r>
    </w:p>
    <w:p w14:paraId="706CED2E">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color w:val="000000"/>
          <w:szCs w:val="21"/>
          <w:highlight w:val="none"/>
        </w:rPr>
        <w:t>在订定合同过程中，如发现中标人以他人名义投标或者以其他方式弄虚作假，骗取中标的，采购人有权取消其中标资格，并将第二中标候选人确定为中标人。</w:t>
      </w:r>
    </w:p>
    <w:p w14:paraId="6CF9FABC">
      <w:pPr>
        <w:numPr>
          <w:ilvl w:val="1"/>
          <w:numId w:val="3"/>
        </w:numPr>
        <w:spacing w:beforeLines="50" w:line="360" w:lineRule="auto"/>
        <w:outlineLvl w:val="3"/>
        <w:rPr>
          <w:rFonts w:ascii="宋体" w:hAnsi="宋体"/>
          <w:b/>
          <w:color w:val="000000"/>
          <w:szCs w:val="21"/>
          <w:highlight w:val="none"/>
        </w:rPr>
      </w:pPr>
      <w:r>
        <w:rPr>
          <w:rFonts w:hint="eastAsia" w:ascii="宋体" w:hAnsi="宋体"/>
          <w:b/>
          <w:color w:val="000000"/>
          <w:szCs w:val="21"/>
          <w:highlight w:val="none"/>
        </w:rPr>
        <w:t>签约</w:t>
      </w:r>
    </w:p>
    <w:p w14:paraId="78F04371">
      <w:pPr>
        <w:numPr>
          <w:ilvl w:val="2"/>
          <w:numId w:val="3"/>
        </w:numPr>
        <w:tabs>
          <w:tab w:val="left" w:pos="735"/>
        </w:tabs>
        <w:spacing w:line="360" w:lineRule="auto"/>
        <w:ind w:left="735" w:hanging="735"/>
        <w:rPr>
          <w:rFonts w:ascii="宋体" w:hAnsi="宋体"/>
          <w:bCs/>
          <w:color w:val="000000"/>
          <w:szCs w:val="21"/>
          <w:highlight w:val="none"/>
        </w:rPr>
      </w:pPr>
      <w:r>
        <w:rPr>
          <w:rFonts w:hint="eastAsia" w:ascii="宋体" w:hAnsi="宋体"/>
          <w:bCs/>
          <w:color w:val="000000"/>
          <w:szCs w:val="21"/>
          <w:highlight w:val="none"/>
        </w:rPr>
        <w:t>中标人应当在《中标通知书》发出之日起三十日内与采购人签订合同。</w:t>
      </w:r>
    </w:p>
    <w:p w14:paraId="30CBDBEA">
      <w:pPr>
        <w:numPr>
          <w:ilvl w:val="2"/>
          <w:numId w:val="3"/>
        </w:numPr>
        <w:tabs>
          <w:tab w:val="left" w:pos="735"/>
        </w:tabs>
        <w:spacing w:line="360" w:lineRule="auto"/>
        <w:ind w:left="735" w:hanging="735"/>
        <w:rPr>
          <w:rFonts w:ascii="宋体" w:hAnsi="宋体"/>
          <w:color w:val="000000"/>
          <w:szCs w:val="21"/>
          <w:highlight w:val="none"/>
        </w:rPr>
      </w:pPr>
      <w:r>
        <w:rPr>
          <w:rFonts w:hint="eastAsia" w:ascii="宋体" w:hAnsi="宋体"/>
          <w:bCs/>
          <w:color w:val="000000"/>
          <w:szCs w:val="21"/>
          <w:highlight w:val="none"/>
        </w:rPr>
        <w:t>采购人</w:t>
      </w:r>
      <w:r>
        <w:rPr>
          <w:rFonts w:hint="eastAsia" w:ascii="宋体" w:hAnsi="宋体"/>
          <w:color w:val="000000"/>
          <w:szCs w:val="21"/>
          <w:highlight w:val="none"/>
        </w:rPr>
        <w:t>不得向中标人提出任何不合理的要求，作为签订合同的条件，不得与中标人私下订立背离合同实质性内容的协议。</w:t>
      </w:r>
    </w:p>
    <w:p w14:paraId="554D9A6C">
      <w:pPr>
        <w:pStyle w:val="6"/>
        <w:numPr>
          <w:ilvl w:val="0"/>
          <w:numId w:val="3"/>
        </w:numPr>
        <w:spacing w:line="400" w:lineRule="exact"/>
        <w:rPr>
          <w:color w:val="000000"/>
          <w:sz w:val="21"/>
          <w:szCs w:val="21"/>
          <w:highlight w:val="none"/>
        </w:rPr>
      </w:pPr>
      <w:bookmarkStart w:id="70" w:name="_Toc334795453"/>
      <w:bookmarkStart w:id="71" w:name="_Toc238282337"/>
      <w:bookmarkStart w:id="72" w:name="_Toc185747583"/>
      <w:bookmarkStart w:id="73" w:name="_Toc223939098"/>
      <w:bookmarkStart w:id="74" w:name="_Toc224435723"/>
      <w:bookmarkStart w:id="75" w:name="_Toc228899504"/>
      <w:bookmarkStart w:id="76" w:name="_Toc228644975"/>
      <w:bookmarkStart w:id="77" w:name="_Toc225565950"/>
      <w:r>
        <w:rPr>
          <w:rFonts w:hint="eastAsia"/>
          <w:color w:val="000000"/>
          <w:sz w:val="21"/>
          <w:szCs w:val="21"/>
          <w:highlight w:val="none"/>
        </w:rPr>
        <w:t>招标服务费</w:t>
      </w:r>
      <w:bookmarkEnd w:id="57"/>
      <w:bookmarkEnd w:id="58"/>
      <w:bookmarkEnd w:id="59"/>
      <w:bookmarkEnd w:id="70"/>
      <w:bookmarkEnd w:id="71"/>
      <w:bookmarkEnd w:id="72"/>
      <w:bookmarkEnd w:id="73"/>
      <w:bookmarkEnd w:id="74"/>
      <w:bookmarkEnd w:id="75"/>
      <w:bookmarkEnd w:id="76"/>
      <w:bookmarkEnd w:id="77"/>
    </w:p>
    <w:p w14:paraId="28E683FC">
      <w:pPr>
        <w:pStyle w:val="62"/>
        <w:spacing w:line="360" w:lineRule="auto"/>
        <w:ind w:firstLine="420" w:firstLineChars="200"/>
        <w:rPr>
          <w:rFonts w:hint="default" w:ascii="宋体" w:hAnsi="宋体" w:eastAsia="宋体"/>
          <w:kern w:val="2"/>
          <w:sz w:val="21"/>
          <w:szCs w:val="21"/>
          <w:highlight w:val="none"/>
          <w:lang w:eastAsia="zh-TW"/>
        </w:rPr>
      </w:pPr>
      <w:bookmarkStart w:id="78" w:name="_Toc134956124"/>
      <w:bookmarkStart w:id="79" w:name="_Toc387076653"/>
      <w:r>
        <w:rPr>
          <w:rFonts w:ascii="宋体" w:hAnsi="宋体" w:eastAsia="宋体" w:cs="宋体"/>
          <w:color w:val="auto"/>
          <w:sz w:val="21"/>
          <w:szCs w:val="21"/>
          <w:highlight w:val="none"/>
        </w:rPr>
        <w:t xml:space="preserve">6.1   </w:t>
      </w:r>
      <w:r>
        <w:rPr>
          <w:rFonts w:ascii="宋体" w:hAnsi="宋体" w:eastAsia="宋体"/>
          <w:kern w:val="2"/>
          <w:sz w:val="21"/>
          <w:szCs w:val="21"/>
          <w:highlight w:val="none"/>
          <w:lang w:eastAsia="zh-TW"/>
        </w:rPr>
        <w:t>按照约定，</w:t>
      </w:r>
      <w:r>
        <w:rPr>
          <w:rFonts w:ascii="宋体" w:hAnsi="宋体" w:eastAsia="宋体"/>
          <w:kern w:val="2"/>
          <w:sz w:val="21"/>
          <w:szCs w:val="21"/>
          <w:highlight w:val="none"/>
        </w:rPr>
        <w:t>中标人领取中标通知书前</w:t>
      </w:r>
      <w:r>
        <w:rPr>
          <w:rFonts w:ascii="宋体" w:hAnsi="宋体" w:eastAsia="宋体"/>
          <w:kern w:val="2"/>
          <w:sz w:val="21"/>
          <w:szCs w:val="21"/>
          <w:highlight w:val="none"/>
          <w:lang w:eastAsia="zh-TW"/>
        </w:rPr>
        <w:t>向采购代理机构缴交招标代理服务费</w:t>
      </w:r>
      <w:r>
        <w:rPr>
          <w:rFonts w:ascii="宋体" w:hAnsi="宋体" w:eastAsia="宋体"/>
          <w:kern w:val="2"/>
          <w:sz w:val="21"/>
          <w:szCs w:val="21"/>
          <w:highlight w:val="none"/>
        </w:rPr>
        <w:t>，</w:t>
      </w:r>
      <w:r>
        <w:rPr>
          <w:rFonts w:ascii="宋体" w:hAnsi="宋体" w:eastAsia="宋体"/>
          <w:kern w:val="2"/>
          <w:sz w:val="21"/>
          <w:szCs w:val="21"/>
          <w:highlight w:val="none"/>
          <w:lang w:eastAsia="zh-TW"/>
        </w:rPr>
        <w:t>服务费按差额定率累进法计算</w:t>
      </w:r>
      <w:r>
        <w:rPr>
          <w:rFonts w:ascii="宋体" w:hAnsi="宋体" w:eastAsia="宋体"/>
          <w:kern w:val="2"/>
          <w:sz w:val="21"/>
          <w:szCs w:val="21"/>
          <w:highlight w:val="none"/>
        </w:rPr>
        <w:t>后，按照20%下浮率优惠。</w:t>
      </w:r>
    </w:p>
    <w:tbl>
      <w:tblPr>
        <w:tblStyle w:val="22"/>
        <w:tblW w:w="81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3"/>
        <w:gridCol w:w="3999"/>
      </w:tblGrid>
      <w:tr w14:paraId="53A51B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0" w:hRule="atLeast"/>
          <w:jc w:val="center"/>
        </w:trPr>
        <w:tc>
          <w:tcPr>
            <w:tcW w:w="4143" w:type="dxa"/>
            <w:tcBorders>
              <w:tl2br w:val="single" w:color="auto" w:sz="4" w:space="0"/>
            </w:tcBorders>
          </w:tcPr>
          <w:p w14:paraId="4B636CA4">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 xml:space="preserve">                      费率</w:t>
            </w:r>
          </w:p>
          <w:p w14:paraId="0F9226D0">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中标金额</w:t>
            </w:r>
          </w:p>
        </w:tc>
        <w:tc>
          <w:tcPr>
            <w:tcW w:w="3999" w:type="dxa"/>
            <w:vAlign w:val="center"/>
          </w:tcPr>
          <w:p w14:paraId="336C90CA">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工程招标</w:t>
            </w:r>
          </w:p>
        </w:tc>
      </w:tr>
      <w:tr w14:paraId="6953A6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0DC90057">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100万元以下</w:t>
            </w:r>
          </w:p>
        </w:tc>
        <w:tc>
          <w:tcPr>
            <w:tcW w:w="3999" w:type="dxa"/>
            <w:vAlign w:val="center"/>
          </w:tcPr>
          <w:p w14:paraId="128CF0E7">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1.0%</w:t>
            </w:r>
          </w:p>
        </w:tc>
      </w:tr>
      <w:tr w14:paraId="682B88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4FC3B4A1">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100～500万元</w:t>
            </w:r>
          </w:p>
        </w:tc>
        <w:tc>
          <w:tcPr>
            <w:tcW w:w="3999" w:type="dxa"/>
            <w:vAlign w:val="center"/>
          </w:tcPr>
          <w:p w14:paraId="32716B63">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0.7%</w:t>
            </w:r>
          </w:p>
        </w:tc>
      </w:tr>
      <w:tr w14:paraId="7A205C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68490D58">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500～1000万元</w:t>
            </w:r>
          </w:p>
        </w:tc>
        <w:tc>
          <w:tcPr>
            <w:tcW w:w="3999" w:type="dxa"/>
            <w:vAlign w:val="center"/>
          </w:tcPr>
          <w:p w14:paraId="7013677E">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0.55%</w:t>
            </w:r>
          </w:p>
        </w:tc>
      </w:tr>
      <w:tr w14:paraId="42914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20BD54CF">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1000～5000万元</w:t>
            </w:r>
          </w:p>
        </w:tc>
        <w:tc>
          <w:tcPr>
            <w:tcW w:w="3999" w:type="dxa"/>
            <w:vAlign w:val="center"/>
          </w:tcPr>
          <w:p w14:paraId="10986A58">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0.35%</w:t>
            </w:r>
          </w:p>
        </w:tc>
      </w:tr>
      <w:tr w14:paraId="3C82D8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472D8AB3">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5000万元～1亿元</w:t>
            </w:r>
          </w:p>
        </w:tc>
        <w:tc>
          <w:tcPr>
            <w:tcW w:w="3999" w:type="dxa"/>
            <w:vAlign w:val="center"/>
          </w:tcPr>
          <w:p w14:paraId="09497349">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0.2</w:t>
            </w:r>
            <w:r>
              <w:rPr>
                <w:rFonts w:hint="eastAsia" w:ascii="宋体" w:hAnsi="宋体" w:eastAsia="宋体" w:cs="宋体"/>
                <w:color w:val="auto"/>
                <w:sz w:val="21"/>
                <w:szCs w:val="21"/>
                <w:highlight w:val="none"/>
                <w:lang w:val="en-US" w:eastAsia="zh-CN"/>
              </w:rPr>
              <w:t>0</w:t>
            </w:r>
            <w:r>
              <w:rPr>
                <w:rFonts w:ascii="宋体" w:hAnsi="宋体" w:eastAsia="宋体" w:cs="宋体"/>
                <w:color w:val="auto"/>
                <w:sz w:val="21"/>
                <w:szCs w:val="21"/>
                <w:highlight w:val="none"/>
                <w:lang w:eastAsia="zh-TW"/>
              </w:rPr>
              <w:t>%</w:t>
            </w:r>
          </w:p>
        </w:tc>
      </w:tr>
      <w:tr w14:paraId="303C66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2E9225DD">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1～5亿元</w:t>
            </w:r>
          </w:p>
        </w:tc>
        <w:tc>
          <w:tcPr>
            <w:tcW w:w="3999" w:type="dxa"/>
            <w:vAlign w:val="center"/>
          </w:tcPr>
          <w:p w14:paraId="022F8753">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0.05%</w:t>
            </w:r>
          </w:p>
        </w:tc>
      </w:tr>
      <w:tr w14:paraId="35AD2E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1CB00B56">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5～10亿元</w:t>
            </w:r>
          </w:p>
        </w:tc>
        <w:tc>
          <w:tcPr>
            <w:tcW w:w="3999" w:type="dxa"/>
            <w:vAlign w:val="center"/>
          </w:tcPr>
          <w:p w14:paraId="67A23497">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0.035%</w:t>
            </w:r>
          </w:p>
        </w:tc>
      </w:tr>
      <w:tr w14:paraId="347B4C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31F945CD">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10～50亿元</w:t>
            </w:r>
          </w:p>
        </w:tc>
        <w:tc>
          <w:tcPr>
            <w:tcW w:w="3999" w:type="dxa"/>
            <w:vAlign w:val="center"/>
          </w:tcPr>
          <w:p w14:paraId="3208585C">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0.008%</w:t>
            </w:r>
          </w:p>
        </w:tc>
      </w:tr>
      <w:tr w14:paraId="355EA2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012468E2">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50～100亿元</w:t>
            </w:r>
          </w:p>
        </w:tc>
        <w:tc>
          <w:tcPr>
            <w:tcW w:w="3999" w:type="dxa"/>
            <w:vAlign w:val="center"/>
          </w:tcPr>
          <w:p w14:paraId="3F9FD19A">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0.006%</w:t>
            </w:r>
          </w:p>
        </w:tc>
      </w:tr>
      <w:tr w14:paraId="24BD1D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72AB3CDF">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100亿以上</w:t>
            </w:r>
          </w:p>
        </w:tc>
        <w:tc>
          <w:tcPr>
            <w:tcW w:w="3999" w:type="dxa"/>
            <w:vAlign w:val="center"/>
          </w:tcPr>
          <w:p w14:paraId="16B2E2DC">
            <w:pPr>
              <w:pStyle w:val="62"/>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0.004%</w:t>
            </w:r>
          </w:p>
        </w:tc>
      </w:tr>
    </w:tbl>
    <w:p w14:paraId="0221AD6F">
      <w:pPr>
        <w:pStyle w:val="62"/>
        <w:spacing w:line="360" w:lineRule="auto"/>
        <w:ind w:firstLine="630" w:firstLineChars="300"/>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例如：某工程招标中标金额为500万元，计算招标代理服务收费额如下：</w:t>
      </w:r>
    </w:p>
    <w:p w14:paraId="08CFF2EC">
      <w:pPr>
        <w:pStyle w:val="62"/>
        <w:spacing w:line="360" w:lineRule="auto"/>
        <w:ind w:firstLine="630" w:firstLineChars="300"/>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100万元×1.0%=1.0万元</w:t>
      </w:r>
    </w:p>
    <w:p w14:paraId="1DE5041B">
      <w:pPr>
        <w:pStyle w:val="62"/>
        <w:spacing w:line="360" w:lineRule="auto"/>
        <w:ind w:firstLine="630" w:firstLineChars="300"/>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（500-100）万元×0.7%=2.8万元</w:t>
      </w:r>
    </w:p>
    <w:p w14:paraId="6273B197">
      <w:pPr>
        <w:pStyle w:val="62"/>
        <w:spacing w:line="360" w:lineRule="auto"/>
        <w:ind w:firstLine="630" w:firstLineChars="300"/>
        <w:rPr>
          <w:rFonts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合计收费=</w:t>
      </w:r>
      <w:r>
        <w:rPr>
          <w:rFonts w:ascii="宋体" w:hAnsi="宋体" w:eastAsia="宋体" w:cs="宋体"/>
          <w:color w:val="auto"/>
          <w:sz w:val="21"/>
          <w:szCs w:val="21"/>
          <w:highlight w:val="none"/>
        </w:rPr>
        <w:t>（</w:t>
      </w:r>
      <w:r>
        <w:rPr>
          <w:rFonts w:ascii="宋体" w:hAnsi="宋体" w:eastAsia="宋体" w:cs="宋体"/>
          <w:color w:val="auto"/>
          <w:sz w:val="21"/>
          <w:szCs w:val="21"/>
          <w:highlight w:val="none"/>
          <w:lang w:eastAsia="zh-TW"/>
        </w:rPr>
        <w:t>1.0+2.8</w:t>
      </w:r>
      <w:r>
        <w:rPr>
          <w:rFonts w:ascii="宋体" w:hAnsi="宋体" w:eastAsia="宋体" w:cs="宋体"/>
          <w:color w:val="auto"/>
          <w:sz w:val="21"/>
          <w:szCs w:val="21"/>
          <w:highlight w:val="none"/>
        </w:rPr>
        <w:t>）*0.8</w:t>
      </w:r>
      <w:r>
        <w:rPr>
          <w:rFonts w:ascii="宋体" w:hAnsi="宋体" w:eastAsia="宋体" w:cs="宋体"/>
          <w:color w:val="auto"/>
          <w:sz w:val="21"/>
          <w:szCs w:val="21"/>
          <w:highlight w:val="none"/>
          <w:lang w:eastAsia="zh-TW"/>
        </w:rPr>
        <w:t>=</w:t>
      </w:r>
      <w:r>
        <w:rPr>
          <w:rFonts w:ascii="宋体" w:hAnsi="宋体" w:eastAsia="宋体" w:cs="宋体"/>
          <w:color w:val="auto"/>
          <w:sz w:val="21"/>
          <w:szCs w:val="21"/>
          <w:highlight w:val="none"/>
        </w:rPr>
        <w:t>3.04</w:t>
      </w:r>
      <w:r>
        <w:rPr>
          <w:rFonts w:ascii="宋体" w:hAnsi="宋体" w:eastAsia="宋体" w:cs="宋体"/>
          <w:color w:val="auto"/>
          <w:sz w:val="21"/>
          <w:szCs w:val="21"/>
          <w:highlight w:val="none"/>
          <w:lang w:eastAsia="zh-TW"/>
        </w:rPr>
        <w:t>（万元）</w:t>
      </w:r>
    </w:p>
    <w:p w14:paraId="1D62F5BB">
      <w:pPr>
        <w:pStyle w:val="10"/>
        <w:spacing w:line="360" w:lineRule="auto"/>
        <w:ind w:firstLine="420" w:firstLineChars="200"/>
        <w:rPr>
          <w:rFonts w:hint="default" w:ascii="宋体" w:hAnsi="宋体" w:eastAsia="宋体" w:cs="宋体"/>
          <w:color w:val="auto"/>
          <w:sz w:val="21"/>
          <w:szCs w:val="21"/>
          <w:highlight w:val="none"/>
          <w:lang w:eastAsia="zh-TW"/>
        </w:rPr>
      </w:pPr>
      <w:r>
        <w:rPr>
          <w:rFonts w:hint="eastAsia" w:ascii="宋体" w:hAnsi="宋体" w:eastAsia="宋体" w:cs="Times New Roman"/>
          <w:bCs/>
          <w:color w:val="auto"/>
          <w:kern w:val="2"/>
          <w:sz w:val="21"/>
          <w:szCs w:val="21"/>
          <w:highlight w:val="none"/>
          <w:lang w:val="en-US" w:eastAsia="zh-CN" w:bidi="ar-SA"/>
        </w:rPr>
        <w:t>6.2按照约定，项目评审费用在缴费通知单列通知，中标人领取中标通知书前与招标代理服务费一并向采购代理机构缴交。</w:t>
      </w:r>
    </w:p>
    <w:p w14:paraId="5844819F">
      <w:pPr>
        <w:pStyle w:val="6"/>
        <w:numPr>
          <w:ilvl w:val="0"/>
          <w:numId w:val="3"/>
        </w:numPr>
        <w:spacing w:line="400" w:lineRule="exact"/>
        <w:rPr>
          <w:color w:val="000000"/>
          <w:sz w:val="21"/>
          <w:szCs w:val="21"/>
          <w:highlight w:val="none"/>
        </w:rPr>
      </w:pPr>
      <w:r>
        <w:rPr>
          <w:rFonts w:hint="eastAsia"/>
          <w:color w:val="000000"/>
          <w:sz w:val="21"/>
          <w:szCs w:val="21"/>
          <w:highlight w:val="none"/>
        </w:rPr>
        <w:t>询问、质疑与投诉</w:t>
      </w:r>
      <w:bookmarkEnd w:id="78"/>
      <w:bookmarkEnd w:id="79"/>
    </w:p>
    <w:p w14:paraId="02D0DCA8">
      <w:pPr>
        <w:spacing w:before="50" w:after="50" w:line="360" w:lineRule="auto"/>
        <w:ind w:firstLine="420" w:firstLineChars="200"/>
        <w:rPr>
          <w:rFonts w:ascii="宋体" w:hAnsi="宋体"/>
          <w:bCs/>
          <w:color w:val="000000"/>
          <w:szCs w:val="21"/>
          <w:highlight w:val="none"/>
        </w:rPr>
      </w:pPr>
      <w:bookmarkStart w:id="80" w:name="_Toc134955411"/>
      <w:r>
        <w:rPr>
          <w:rFonts w:hint="eastAsia" w:ascii="宋体" w:hAnsi="宋体"/>
          <w:bCs/>
          <w:color w:val="000000"/>
          <w:szCs w:val="21"/>
          <w:highlight w:val="none"/>
        </w:rPr>
        <w:t>7.1投标人可以向代理机构提出询问和质疑，代理机构依照相关规定就采购人委托授权范围内的事项作出答复。</w:t>
      </w:r>
    </w:p>
    <w:p w14:paraId="629D402D">
      <w:pPr>
        <w:spacing w:before="50" w:after="50" w:line="360" w:lineRule="auto"/>
        <w:ind w:firstLine="420" w:firstLineChars="200"/>
        <w:rPr>
          <w:rFonts w:ascii="宋体" w:hAnsi="宋体"/>
          <w:color w:val="000000"/>
          <w:szCs w:val="21"/>
          <w:highlight w:val="none"/>
        </w:rPr>
      </w:pPr>
      <w:r>
        <w:rPr>
          <w:rFonts w:hint="eastAsia" w:ascii="宋体" w:hAnsi="宋体"/>
          <w:color w:val="000000"/>
          <w:szCs w:val="21"/>
          <w:highlight w:val="none"/>
        </w:rPr>
        <w:t>7.2投标人认为采购文件的内容损害其权益的，可以在采购文件公示期间或者自期满之日起7个工作日内以书面形式（不接受非现场递交形式）向采购人或代理机构提出质疑，逾期质疑无效。</w:t>
      </w:r>
    </w:p>
    <w:p w14:paraId="5A6C9A5F">
      <w:pPr>
        <w:spacing w:before="50" w:after="50" w:line="360" w:lineRule="auto"/>
        <w:ind w:firstLine="420" w:firstLineChars="200"/>
        <w:rPr>
          <w:rFonts w:ascii="宋体" w:hAnsi="宋体"/>
          <w:color w:val="000000"/>
          <w:szCs w:val="21"/>
          <w:highlight w:val="none"/>
        </w:rPr>
      </w:pPr>
      <w:r>
        <w:rPr>
          <w:rFonts w:hint="eastAsia" w:ascii="宋体" w:hAnsi="宋体"/>
          <w:color w:val="000000"/>
          <w:szCs w:val="21"/>
          <w:highlight w:val="none"/>
        </w:rPr>
        <w:t>7.3投标人认为采购过程和中标结果使自己的权益受到损害的，可以在知道或者应知其权益受到损害之日起7个工作日内，以书面形式（不接受非现场递交形式）向采购人或代理机构提出质疑，逾期质疑无效。</w:t>
      </w:r>
      <w:bookmarkEnd w:id="80"/>
    </w:p>
    <w:p w14:paraId="224F25E9">
      <w:pPr>
        <w:spacing w:before="50" w:after="50" w:line="360" w:lineRule="auto"/>
        <w:ind w:firstLine="420" w:firstLineChars="200"/>
        <w:rPr>
          <w:rFonts w:ascii="宋体" w:hAnsi="宋体"/>
          <w:color w:val="000000"/>
          <w:szCs w:val="21"/>
          <w:highlight w:val="none"/>
        </w:rPr>
      </w:pPr>
      <w:r>
        <w:rPr>
          <w:rFonts w:hint="eastAsia" w:ascii="宋体" w:hAnsi="宋体"/>
          <w:color w:val="000000"/>
          <w:highlight w:val="none"/>
        </w:rPr>
        <w:t>7.4质疑函应当署名。质疑</w:t>
      </w:r>
      <w:r>
        <w:rPr>
          <w:rFonts w:hint="eastAsia" w:ascii="宋体" w:hAnsi="宋体"/>
          <w:color w:val="000000"/>
          <w:szCs w:val="21"/>
          <w:highlight w:val="none"/>
        </w:rPr>
        <w:t>投标人</w:t>
      </w:r>
      <w:r>
        <w:rPr>
          <w:rFonts w:hint="eastAsia" w:ascii="宋体" w:hAnsi="宋体"/>
          <w:color w:val="000000"/>
          <w:highlight w:val="none"/>
        </w:rPr>
        <w:t>为自然人的，应当由本人签字并以右手食指手指手印作为确认；质疑</w:t>
      </w:r>
      <w:r>
        <w:rPr>
          <w:rFonts w:hint="eastAsia" w:ascii="宋体" w:hAnsi="宋体"/>
          <w:color w:val="000000"/>
          <w:szCs w:val="21"/>
          <w:highlight w:val="none"/>
        </w:rPr>
        <w:t>投标人</w:t>
      </w:r>
      <w:r>
        <w:rPr>
          <w:rFonts w:hint="eastAsia" w:ascii="宋体" w:hAnsi="宋体"/>
          <w:color w:val="000000"/>
          <w:highlight w:val="none"/>
        </w:rPr>
        <w:t>为法人或者其他组织的，应当由法定代表人签字并加盖公章。</w:t>
      </w:r>
      <w:r>
        <w:rPr>
          <w:rFonts w:hint="eastAsia" w:ascii="宋体" w:hAnsi="宋体"/>
          <w:color w:val="000000"/>
          <w:szCs w:val="21"/>
          <w:highlight w:val="none"/>
        </w:rPr>
        <w:t>质疑内容不得含有虚假、恶意成份。依照谁主张谁举证的原则，提出质疑者必须同时提交相关确凿的证据材料和注明证据的确切来源，证据来源必须合法，代理机构有权将质疑函转发质疑事项各关联方，请其作出解释说明。对捏造事实、滥用维权扰乱采购秩序的恶意质疑者，将上报</w:t>
      </w:r>
      <w:r>
        <w:rPr>
          <w:rFonts w:hint="eastAsia" w:ascii="宋体" w:hAnsi="宋体"/>
          <w:color w:val="000000"/>
          <w:szCs w:val="21"/>
          <w:highlight w:val="none"/>
          <w:lang w:eastAsia="zh-CN"/>
        </w:rPr>
        <w:t>同级</w:t>
      </w:r>
      <w:r>
        <w:rPr>
          <w:rFonts w:hint="eastAsia" w:ascii="宋体" w:hAnsi="宋体"/>
          <w:color w:val="000000"/>
          <w:szCs w:val="21"/>
          <w:highlight w:val="none"/>
        </w:rPr>
        <w:t>采购监督管理部门依法处理。</w:t>
      </w:r>
    </w:p>
    <w:p w14:paraId="4B88E474">
      <w:pPr>
        <w:spacing w:before="50" w:after="50" w:line="360" w:lineRule="auto"/>
        <w:ind w:firstLine="420" w:firstLineChars="200"/>
        <w:rPr>
          <w:rFonts w:ascii="宋体" w:hAnsi="宋体"/>
          <w:color w:val="000000"/>
          <w:szCs w:val="21"/>
          <w:highlight w:val="none"/>
        </w:rPr>
      </w:pPr>
      <w:r>
        <w:rPr>
          <w:rFonts w:hint="eastAsia" w:ascii="宋体" w:hAnsi="宋体"/>
          <w:color w:val="000000"/>
          <w:szCs w:val="21"/>
          <w:highlight w:val="none"/>
        </w:rPr>
        <w:t>7.5质疑投标人对采购人、代理机构的质疑答复不满意，或者采购人、代理机构未在规定期限内作出答复的，可以在答复期满后15个工作日内向采购人的同级采购监督管理部门提起投诉。</w:t>
      </w:r>
    </w:p>
    <w:p w14:paraId="02CE3447">
      <w:pPr>
        <w:spacing w:line="360" w:lineRule="auto"/>
        <w:ind w:right="-317" w:rightChars="-151" w:firstLine="420" w:firstLineChars="200"/>
        <w:rPr>
          <w:rFonts w:ascii="宋体" w:hAnsi="宋体"/>
          <w:bCs/>
          <w:szCs w:val="21"/>
          <w:highlight w:val="none"/>
        </w:rPr>
      </w:pPr>
      <w:r>
        <w:rPr>
          <w:rFonts w:hint="eastAsia" w:ascii="宋体" w:hAnsi="宋体"/>
          <w:color w:val="000000"/>
          <w:szCs w:val="21"/>
          <w:highlight w:val="none"/>
        </w:rPr>
        <w:t>7.6询问及质疑函应按相应格式进行填写及签署，并递交书面文件至代理机构，没有签署的质疑函将不予受理。具体格式详见</w:t>
      </w:r>
      <w:r>
        <w:rPr>
          <w:rFonts w:hint="eastAsia"/>
          <w:color w:val="000000"/>
          <w:szCs w:val="21"/>
          <w:highlight w:val="none"/>
        </w:rPr>
        <w:t>http://www.gdqunsheng.com/常用文件一栏。</w:t>
      </w:r>
    </w:p>
    <w:p w14:paraId="0DE4D0FC">
      <w:pPr>
        <w:spacing w:line="300" w:lineRule="auto"/>
        <w:rPr>
          <w:rFonts w:ascii="仿宋_GB2312" w:hAnsi="宋体" w:eastAsia="仿宋_GB2312"/>
          <w:color w:val="000000"/>
          <w:sz w:val="24"/>
          <w:highlight w:val="none"/>
        </w:rPr>
      </w:pPr>
    </w:p>
    <w:p w14:paraId="6EBCE463">
      <w:pPr>
        <w:pStyle w:val="36"/>
        <w:rPr>
          <w:rFonts w:ascii="仿宋_GB2312" w:hAnsi="宋体" w:eastAsia="仿宋_GB2312"/>
          <w:color w:val="000000"/>
          <w:sz w:val="24"/>
          <w:highlight w:val="none"/>
        </w:rPr>
      </w:pPr>
    </w:p>
    <w:p w14:paraId="70575440">
      <w:pPr>
        <w:pStyle w:val="36"/>
        <w:rPr>
          <w:rFonts w:ascii="仿宋_GB2312" w:hAnsi="宋体" w:eastAsia="仿宋_GB2312"/>
          <w:color w:val="000000"/>
          <w:sz w:val="24"/>
          <w:highlight w:val="none"/>
        </w:rPr>
      </w:pPr>
    </w:p>
    <w:p w14:paraId="50D5C65C">
      <w:pPr>
        <w:pStyle w:val="36"/>
        <w:rPr>
          <w:rFonts w:ascii="仿宋_GB2312" w:hAnsi="宋体" w:eastAsia="仿宋_GB2312"/>
          <w:color w:val="000000"/>
          <w:sz w:val="24"/>
          <w:highlight w:val="none"/>
        </w:rPr>
      </w:pPr>
    </w:p>
    <w:p w14:paraId="06333E9D">
      <w:pPr>
        <w:pStyle w:val="36"/>
        <w:rPr>
          <w:rFonts w:ascii="仿宋_GB2312" w:hAnsi="宋体" w:eastAsia="仿宋_GB2312"/>
          <w:color w:val="000000"/>
          <w:sz w:val="24"/>
          <w:highlight w:val="none"/>
        </w:rPr>
      </w:pPr>
    </w:p>
    <w:p w14:paraId="42364578">
      <w:pPr>
        <w:pStyle w:val="36"/>
        <w:rPr>
          <w:rFonts w:ascii="仿宋_GB2312" w:hAnsi="宋体" w:eastAsia="仿宋_GB2312"/>
          <w:color w:val="000000"/>
          <w:sz w:val="24"/>
          <w:highlight w:val="none"/>
        </w:rPr>
      </w:pPr>
    </w:p>
    <w:p w14:paraId="25B94E83">
      <w:pPr>
        <w:pStyle w:val="36"/>
        <w:rPr>
          <w:rFonts w:ascii="仿宋_GB2312" w:hAnsi="宋体" w:eastAsia="仿宋_GB2312"/>
          <w:color w:val="000000"/>
          <w:sz w:val="24"/>
          <w:highlight w:val="none"/>
        </w:rPr>
      </w:pPr>
    </w:p>
    <w:p w14:paraId="56B41D58">
      <w:pPr>
        <w:pStyle w:val="36"/>
        <w:rPr>
          <w:rFonts w:ascii="仿宋_GB2312" w:hAnsi="宋体" w:eastAsia="仿宋_GB2312"/>
          <w:color w:val="000000"/>
          <w:sz w:val="24"/>
          <w:highlight w:val="none"/>
        </w:rPr>
      </w:pPr>
    </w:p>
    <w:p w14:paraId="008597C0">
      <w:pPr>
        <w:pStyle w:val="36"/>
        <w:rPr>
          <w:rFonts w:ascii="仿宋_GB2312" w:hAnsi="宋体" w:eastAsia="仿宋_GB2312"/>
          <w:color w:val="000000"/>
          <w:sz w:val="24"/>
          <w:highlight w:val="none"/>
        </w:rPr>
      </w:pPr>
    </w:p>
    <w:p w14:paraId="7CCE0E03">
      <w:pPr>
        <w:pStyle w:val="36"/>
        <w:rPr>
          <w:rFonts w:ascii="仿宋_GB2312" w:hAnsi="宋体" w:eastAsia="仿宋_GB2312"/>
          <w:color w:val="000000"/>
          <w:sz w:val="24"/>
          <w:highlight w:val="none"/>
        </w:rPr>
      </w:pPr>
    </w:p>
    <w:p w14:paraId="00DAD84E">
      <w:pPr>
        <w:pStyle w:val="36"/>
        <w:rPr>
          <w:rFonts w:ascii="仿宋_GB2312" w:hAnsi="宋体" w:eastAsia="仿宋_GB2312"/>
          <w:color w:val="000000"/>
          <w:sz w:val="24"/>
          <w:highlight w:val="none"/>
        </w:rPr>
      </w:pPr>
    </w:p>
    <w:p w14:paraId="61B17CE9">
      <w:pPr>
        <w:pStyle w:val="36"/>
        <w:rPr>
          <w:rFonts w:ascii="仿宋_GB2312" w:hAnsi="宋体" w:eastAsia="仿宋_GB2312"/>
          <w:color w:val="000000"/>
          <w:sz w:val="24"/>
          <w:highlight w:val="none"/>
        </w:rPr>
      </w:pPr>
    </w:p>
    <w:bookmarkEnd w:id="7"/>
    <w:bookmarkEnd w:id="8"/>
    <w:bookmarkEnd w:id="9"/>
    <w:bookmarkEnd w:id="10"/>
    <w:p w14:paraId="1456FF23">
      <w:pPr>
        <w:pStyle w:val="3"/>
        <w:keepLines w:val="0"/>
        <w:spacing w:before="0" w:after="0" w:line="360" w:lineRule="auto"/>
        <w:ind w:right="-441" w:rightChars="-210"/>
        <w:jc w:val="center"/>
        <w:rPr>
          <w:rFonts w:ascii="宋体" w:hAnsi="宋体"/>
          <w:color w:val="000000"/>
          <w:kern w:val="2"/>
          <w:sz w:val="48"/>
          <w:szCs w:val="48"/>
          <w:highlight w:val="none"/>
        </w:rPr>
      </w:pPr>
      <w:bookmarkStart w:id="81" w:name="_Toc4123"/>
      <w:r>
        <w:rPr>
          <w:rFonts w:hint="eastAsia" w:ascii="宋体" w:hAnsi="宋体"/>
          <w:color w:val="000000"/>
          <w:kern w:val="2"/>
          <w:sz w:val="48"/>
          <w:szCs w:val="48"/>
          <w:highlight w:val="none"/>
        </w:rPr>
        <w:t>第二章 采购人需求</w:t>
      </w:r>
      <w:bookmarkEnd w:id="81"/>
    </w:p>
    <w:p w14:paraId="10294361">
      <w:pPr>
        <w:spacing w:line="360" w:lineRule="auto"/>
        <w:outlineLvl w:val="0"/>
        <w:rPr>
          <w:rFonts w:ascii="宋体" w:hAnsi="宋体"/>
          <w:b/>
          <w:color w:val="000000"/>
          <w:szCs w:val="21"/>
          <w:highlight w:val="none"/>
        </w:rPr>
      </w:pPr>
      <w:bookmarkStart w:id="82" w:name="_Toc6447"/>
      <w:bookmarkStart w:id="83" w:name="_Toc15183"/>
      <w:bookmarkStart w:id="84" w:name="_Toc130695600"/>
      <w:bookmarkStart w:id="85" w:name="_Toc130697192"/>
      <w:bookmarkStart w:id="86" w:name="_Toc153615297"/>
      <w:bookmarkStart w:id="87" w:name="_Toc185747588"/>
      <w:r>
        <w:rPr>
          <w:rFonts w:hint="eastAsia" w:ascii="宋体" w:hAnsi="宋体"/>
          <w:b/>
          <w:color w:val="000000"/>
          <w:szCs w:val="21"/>
          <w:highlight w:val="none"/>
        </w:rPr>
        <w:t>一、项目概况</w:t>
      </w:r>
      <w:bookmarkEnd w:id="82"/>
      <w:bookmarkEnd w:id="83"/>
    </w:p>
    <w:p w14:paraId="04206209">
      <w:pPr>
        <w:spacing w:line="360" w:lineRule="auto"/>
        <w:ind w:firstLine="420" w:firstLineChars="200"/>
        <w:rPr>
          <w:rFonts w:hint="eastAsia"/>
          <w:bCs/>
        </w:rPr>
      </w:pPr>
      <w:r>
        <w:rPr>
          <w:rFonts w:hint="eastAsia" w:ascii="宋体"/>
        </w:rPr>
        <w:t>本项目是对</w:t>
      </w:r>
      <w:r>
        <w:rPr>
          <w:rFonts w:hint="eastAsia" w:ascii="宋体"/>
          <w:lang w:eastAsia="zh-CN"/>
        </w:rPr>
        <w:t>潮阳农村商业银行下林分理处新址装修工程项目</w:t>
      </w:r>
      <w:r>
        <w:rPr>
          <w:rFonts w:hint="eastAsia" w:ascii="宋体" w:hAnsi="宋体"/>
          <w:color w:val="000000"/>
          <w:szCs w:val="21"/>
          <w:lang w:eastAsia="zh-CN"/>
        </w:rPr>
        <w:t>进行公开招标</w:t>
      </w:r>
      <w:r>
        <w:rPr>
          <w:rFonts w:hint="eastAsia" w:ascii="宋体"/>
        </w:rPr>
        <w:t>，本项目的</w:t>
      </w:r>
      <w:r>
        <w:rPr>
          <w:rFonts w:hint="eastAsia" w:ascii="宋体"/>
          <w:lang w:eastAsia="zh-CN"/>
        </w:rPr>
        <w:t>招标控制价</w:t>
      </w:r>
      <w:r>
        <w:rPr>
          <w:rFonts w:hint="eastAsia" w:ascii="宋体"/>
        </w:rPr>
        <w:t>为</w:t>
      </w:r>
      <w:r>
        <w:rPr>
          <w:rFonts w:hint="eastAsia" w:ascii="宋体"/>
          <w:color w:val="000000"/>
        </w:rPr>
        <w:t>人民币</w:t>
      </w:r>
      <w:r>
        <w:rPr>
          <w:rFonts w:hint="eastAsia" w:ascii="宋体" w:hAnsi="宋体" w:cs="宋体"/>
          <w:color w:val="000000"/>
          <w:kern w:val="0"/>
          <w:sz w:val="21"/>
          <w:szCs w:val="21"/>
          <w:highlight w:val="none"/>
          <w:shd w:val="clear" w:color="auto" w:fill="FFFFFF"/>
          <w:lang w:val="en-US" w:eastAsia="zh-CN"/>
        </w:rPr>
        <w:t>809,710,71</w:t>
      </w:r>
      <w:r>
        <w:rPr>
          <w:rFonts w:hint="eastAsia" w:ascii="宋体"/>
          <w:color w:val="000000"/>
          <w:u w:val="single"/>
          <w:shd w:val="clear" w:color="auto" w:fill="FFFFFF"/>
        </w:rPr>
        <w:t>元</w:t>
      </w:r>
      <w:r>
        <w:rPr>
          <w:rFonts w:hint="eastAsia" w:ascii="宋体"/>
          <w:color w:val="000000"/>
          <w:u w:val="none"/>
          <w:shd w:val="clear" w:color="auto" w:fill="FFFFFF"/>
          <w:lang w:eastAsia="zh-CN"/>
        </w:rPr>
        <w:t>，</w:t>
      </w:r>
      <w:r>
        <w:rPr>
          <w:rFonts w:hint="eastAsia" w:ascii="宋体" w:hAnsi="宋体"/>
        </w:rPr>
        <w:t>超出</w:t>
      </w:r>
      <w:r>
        <w:rPr>
          <w:rFonts w:hint="eastAsia" w:ascii="宋体" w:hAnsi="宋体"/>
          <w:lang w:eastAsia="zh-CN"/>
        </w:rPr>
        <w:t>范围的</w:t>
      </w:r>
      <w:r>
        <w:rPr>
          <w:rFonts w:hint="eastAsia" w:ascii="宋体" w:hAnsi="宋体"/>
        </w:rPr>
        <w:t>将被视为无效报价，不能参加</w:t>
      </w:r>
      <w:r>
        <w:rPr>
          <w:rFonts w:hint="eastAsia" w:ascii="宋体" w:hAnsi="宋体"/>
          <w:lang w:eastAsia="zh-CN"/>
        </w:rPr>
        <w:t>投标</w:t>
      </w:r>
      <w:r>
        <w:rPr>
          <w:rFonts w:hint="eastAsia" w:ascii="宋体" w:hAnsi="宋体"/>
        </w:rPr>
        <w:t>。</w:t>
      </w:r>
    </w:p>
    <w:p w14:paraId="665607CC">
      <w:pPr>
        <w:spacing w:line="360" w:lineRule="auto"/>
        <w:outlineLvl w:val="1"/>
        <w:rPr>
          <w:rFonts w:hint="eastAsia" w:ascii="宋体" w:hAnsi="宋体"/>
          <w:b/>
          <w:bCs/>
          <w:color w:val="000000"/>
          <w:szCs w:val="24"/>
        </w:rPr>
      </w:pPr>
      <w:bookmarkStart w:id="88" w:name="_Toc7010"/>
      <w:r>
        <w:rPr>
          <w:rFonts w:hint="eastAsia" w:ascii="宋体" w:hAnsi="宋体"/>
          <w:b/>
          <w:bCs/>
          <w:color w:val="000000"/>
          <w:szCs w:val="24"/>
        </w:rPr>
        <w:t>二、采购内容</w:t>
      </w:r>
      <w:bookmarkEnd w:id="88"/>
    </w:p>
    <w:tbl>
      <w:tblPr>
        <w:tblStyle w:val="22"/>
        <w:tblW w:w="9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614"/>
        <w:gridCol w:w="758"/>
        <w:gridCol w:w="3036"/>
        <w:gridCol w:w="2868"/>
      </w:tblGrid>
      <w:tr w14:paraId="2E475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581" w:type="dxa"/>
            <w:vAlign w:val="center"/>
          </w:tcPr>
          <w:p w14:paraId="29D8AAE9">
            <w:pPr>
              <w:spacing w:line="360" w:lineRule="auto"/>
              <w:jc w:val="center"/>
              <w:rPr>
                <w:rFonts w:ascii="宋体" w:hAnsi="宋体"/>
                <w:color w:val="000000"/>
                <w:szCs w:val="21"/>
                <w:highlight w:val="none"/>
              </w:rPr>
            </w:pPr>
            <w:r>
              <w:rPr>
                <w:rFonts w:hint="eastAsia" w:ascii="宋体" w:hAnsi="宋体"/>
                <w:color w:val="000000"/>
                <w:sz w:val="21"/>
                <w:szCs w:val="21"/>
                <w:highlight w:val="none"/>
              </w:rPr>
              <w:t>序号</w:t>
            </w:r>
          </w:p>
        </w:tc>
        <w:tc>
          <w:tcPr>
            <w:tcW w:w="2614" w:type="dxa"/>
            <w:vAlign w:val="center"/>
          </w:tcPr>
          <w:p w14:paraId="248E9649">
            <w:pPr>
              <w:spacing w:line="360" w:lineRule="auto"/>
              <w:jc w:val="center"/>
              <w:rPr>
                <w:rFonts w:ascii="宋体" w:hAnsi="宋体"/>
                <w:color w:val="000000"/>
                <w:szCs w:val="21"/>
                <w:highlight w:val="none"/>
              </w:rPr>
            </w:pPr>
            <w:r>
              <w:rPr>
                <w:rFonts w:hint="eastAsia" w:ascii="宋体" w:hAnsi="宋体"/>
                <w:color w:val="000000"/>
                <w:sz w:val="21"/>
                <w:szCs w:val="21"/>
                <w:highlight w:val="none"/>
              </w:rPr>
              <w:t>项目内容</w:t>
            </w:r>
          </w:p>
        </w:tc>
        <w:tc>
          <w:tcPr>
            <w:tcW w:w="758" w:type="dxa"/>
            <w:vAlign w:val="center"/>
          </w:tcPr>
          <w:p w14:paraId="0BF9CF69">
            <w:pPr>
              <w:spacing w:line="360" w:lineRule="auto"/>
              <w:jc w:val="center"/>
              <w:rPr>
                <w:rFonts w:ascii="宋体" w:hAnsi="宋体"/>
                <w:color w:val="000000"/>
                <w:szCs w:val="21"/>
                <w:highlight w:val="none"/>
              </w:rPr>
            </w:pPr>
            <w:r>
              <w:rPr>
                <w:rFonts w:hint="eastAsia" w:ascii="宋体" w:hAnsi="宋体"/>
                <w:color w:val="000000"/>
                <w:sz w:val="21"/>
                <w:szCs w:val="21"/>
                <w:highlight w:val="none"/>
              </w:rPr>
              <w:t>数量</w:t>
            </w:r>
          </w:p>
        </w:tc>
        <w:tc>
          <w:tcPr>
            <w:tcW w:w="3036" w:type="dxa"/>
            <w:vAlign w:val="center"/>
          </w:tcPr>
          <w:p w14:paraId="4FE1BBAA">
            <w:pPr>
              <w:spacing w:line="360" w:lineRule="auto"/>
              <w:jc w:val="center"/>
              <w:rPr>
                <w:rFonts w:ascii="宋体" w:hAnsi="宋体"/>
                <w:color w:val="000000"/>
                <w:szCs w:val="21"/>
                <w:highlight w:val="none"/>
              </w:rPr>
            </w:pPr>
            <w:r>
              <w:rPr>
                <w:rFonts w:hint="eastAsia" w:ascii="宋体" w:hAnsi="宋体"/>
                <w:color w:val="000000"/>
                <w:sz w:val="21"/>
                <w:szCs w:val="21"/>
                <w:highlight w:val="none"/>
              </w:rPr>
              <w:t>招标控制价（元）</w:t>
            </w:r>
          </w:p>
        </w:tc>
        <w:tc>
          <w:tcPr>
            <w:tcW w:w="2868" w:type="dxa"/>
            <w:vAlign w:val="center"/>
          </w:tcPr>
          <w:p w14:paraId="3DBFCE1C">
            <w:pPr>
              <w:spacing w:line="360" w:lineRule="auto"/>
              <w:jc w:val="center"/>
              <w:rPr>
                <w:rFonts w:ascii="宋体"/>
                <w:highlight w:val="none"/>
              </w:rPr>
            </w:pPr>
            <w:r>
              <w:rPr>
                <w:rFonts w:hint="eastAsia" w:ascii="宋体" w:hAnsi="宋体"/>
                <w:color w:val="000000"/>
                <w:sz w:val="21"/>
                <w:szCs w:val="21"/>
                <w:highlight w:val="none"/>
              </w:rPr>
              <w:t>完成时间</w:t>
            </w:r>
          </w:p>
        </w:tc>
      </w:tr>
      <w:tr w14:paraId="24E5E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trPr>
        <w:tc>
          <w:tcPr>
            <w:tcW w:w="581" w:type="dxa"/>
            <w:vAlign w:val="center"/>
          </w:tcPr>
          <w:p w14:paraId="0CFAC7B8">
            <w:pPr>
              <w:spacing w:line="360" w:lineRule="auto"/>
              <w:jc w:val="center"/>
              <w:rPr>
                <w:rFonts w:ascii="宋体" w:hAnsi="宋体"/>
                <w:color w:val="000000"/>
                <w:szCs w:val="21"/>
                <w:highlight w:val="none"/>
              </w:rPr>
            </w:pPr>
            <w:r>
              <w:rPr>
                <w:rFonts w:hint="eastAsia" w:ascii="宋体" w:hAnsi="宋体"/>
                <w:color w:val="000000"/>
                <w:sz w:val="21"/>
                <w:szCs w:val="21"/>
                <w:highlight w:val="none"/>
              </w:rPr>
              <w:t>1</w:t>
            </w:r>
          </w:p>
        </w:tc>
        <w:tc>
          <w:tcPr>
            <w:tcW w:w="2614" w:type="dxa"/>
            <w:vAlign w:val="center"/>
          </w:tcPr>
          <w:p w14:paraId="17CE6D87">
            <w:pPr>
              <w:widowControl/>
              <w:jc w:val="center"/>
              <w:textAlignment w:val="center"/>
              <w:rPr>
                <w:rFonts w:hint="eastAsia" w:ascii="宋体" w:hAnsi="宋体" w:eastAsia="宋体" w:cs="宋体"/>
                <w:color w:val="000000"/>
                <w:kern w:val="0"/>
                <w:szCs w:val="16"/>
                <w:highlight w:val="none"/>
                <w:shd w:val="clear" w:color="auto" w:fill="FFFFFF"/>
                <w:lang w:eastAsia="zh-CN"/>
              </w:rPr>
            </w:pPr>
            <w:r>
              <w:rPr>
                <w:rFonts w:hint="eastAsia" w:ascii="宋体" w:hAnsi="宋体" w:cs="Tahoma"/>
                <w:color w:val="000000"/>
                <w:sz w:val="21"/>
                <w:szCs w:val="21"/>
                <w:highlight w:val="none"/>
                <w:lang w:eastAsia="zh-CN"/>
              </w:rPr>
              <w:t>潮阳农村商业银行铜盂支行营业厅、办公场所装修改造项目</w:t>
            </w:r>
          </w:p>
        </w:tc>
        <w:tc>
          <w:tcPr>
            <w:tcW w:w="758" w:type="dxa"/>
            <w:vAlign w:val="center"/>
          </w:tcPr>
          <w:p w14:paraId="63865284">
            <w:pPr>
              <w:widowControl/>
              <w:jc w:val="center"/>
              <w:textAlignment w:val="center"/>
              <w:rPr>
                <w:rFonts w:ascii="宋体" w:hAnsi="宋体" w:cs="宋体"/>
                <w:color w:val="000000"/>
                <w:kern w:val="0"/>
                <w:szCs w:val="16"/>
                <w:highlight w:val="none"/>
                <w:shd w:val="clear" w:color="auto" w:fill="FFFFFF"/>
              </w:rPr>
            </w:pPr>
            <w:r>
              <w:rPr>
                <w:rFonts w:hint="eastAsia" w:ascii="宋体" w:hAnsi="宋体" w:cs="宋体"/>
                <w:color w:val="000000"/>
                <w:kern w:val="0"/>
                <w:sz w:val="21"/>
                <w:szCs w:val="21"/>
                <w:highlight w:val="none"/>
                <w:shd w:val="clear" w:color="auto" w:fill="FFFFFF"/>
              </w:rPr>
              <w:t>1项</w:t>
            </w:r>
          </w:p>
        </w:tc>
        <w:tc>
          <w:tcPr>
            <w:tcW w:w="3036" w:type="dxa"/>
            <w:vAlign w:val="center"/>
          </w:tcPr>
          <w:p w14:paraId="70635569">
            <w:pPr>
              <w:widowControl/>
              <w:jc w:val="center"/>
              <w:textAlignment w:val="center"/>
              <w:rPr>
                <w:rFonts w:hint="default" w:ascii="宋体" w:hAnsi="宋体" w:eastAsia="宋体" w:cs="宋体"/>
                <w:color w:val="000000"/>
                <w:kern w:val="0"/>
                <w:szCs w:val="16"/>
                <w:highlight w:val="none"/>
                <w:shd w:val="clear" w:color="auto" w:fill="FFFFFF"/>
                <w:lang w:val="en-US" w:eastAsia="zh-CN"/>
              </w:rPr>
            </w:pPr>
            <w:r>
              <w:rPr>
                <w:rFonts w:hint="eastAsia" w:ascii="宋体" w:hAnsi="宋体" w:cs="宋体"/>
                <w:color w:val="000000"/>
                <w:kern w:val="0"/>
                <w:sz w:val="21"/>
                <w:szCs w:val="21"/>
                <w:highlight w:val="none"/>
                <w:shd w:val="clear" w:color="auto" w:fill="FFFFFF"/>
                <w:lang w:val="en-US" w:eastAsia="zh-CN"/>
              </w:rPr>
              <w:t>809,710,71</w:t>
            </w:r>
            <w:r>
              <w:rPr>
                <w:rFonts w:hint="eastAsia" w:ascii="宋体" w:hAnsi="宋体" w:cs="宋体"/>
                <w:color w:val="000000"/>
                <w:kern w:val="0"/>
                <w:sz w:val="21"/>
                <w:szCs w:val="21"/>
                <w:highlight w:val="none"/>
                <w:shd w:val="clear" w:color="auto" w:fill="FFFFFF"/>
              </w:rPr>
              <w:t>（其中绿色施工安全防护措施费：</w:t>
            </w:r>
            <w:r>
              <w:rPr>
                <w:rFonts w:hint="eastAsia" w:ascii="宋体" w:hAnsi="宋体" w:cs="宋体"/>
                <w:color w:val="000000"/>
                <w:kern w:val="0"/>
                <w:sz w:val="21"/>
                <w:szCs w:val="21"/>
                <w:highlight w:val="none"/>
                <w:shd w:val="clear" w:color="auto" w:fill="FFFFFF"/>
                <w:lang w:val="en-US" w:eastAsia="zh-CN"/>
              </w:rPr>
              <w:t>24,240.65</w:t>
            </w:r>
            <w:r>
              <w:rPr>
                <w:rFonts w:hint="eastAsia" w:ascii="宋体" w:hAnsi="宋体" w:cs="宋体"/>
                <w:color w:val="000000"/>
                <w:kern w:val="0"/>
                <w:sz w:val="21"/>
                <w:szCs w:val="21"/>
                <w:highlight w:val="none"/>
                <w:shd w:val="clear" w:color="auto" w:fill="FFFFFF"/>
              </w:rPr>
              <w:t>元）</w:t>
            </w:r>
          </w:p>
        </w:tc>
        <w:tc>
          <w:tcPr>
            <w:tcW w:w="2868" w:type="dxa"/>
            <w:vAlign w:val="center"/>
          </w:tcPr>
          <w:p w14:paraId="3739030E">
            <w:pPr>
              <w:spacing w:line="360" w:lineRule="auto"/>
              <w:jc w:val="center"/>
              <w:rPr>
                <w:rFonts w:hint="eastAsia" w:ascii="宋体" w:hAnsi="宋体" w:eastAsia="宋体" w:cs="宋体"/>
                <w:color w:val="000000"/>
                <w:kern w:val="0"/>
                <w:szCs w:val="21"/>
                <w:highlight w:val="none"/>
                <w:lang w:eastAsia="zh-CN"/>
              </w:rPr>
            </w:pPr>
            <w:r>
              <w:rPr>
                <w:rFonts w:hint="eastAsia" w:ascii="宋体" w:hAnsi="宋体"/>
                <w:color w:val="000000"/>
                <w:sz w:val="21"/>
                <w:szCs w:val="21"/>
                <w:highlight w:val="none"/>
                <w:lang w:eastAsia="zh-CN"/>
              </w:rPr>
              <w:t>自签订之日起60个日历天内完成</w:t>
            </w:r>
          </w:p>
        </w:tc>
      </w:tr>
    </w:tbl>
    <w:p w14:paraId="00CE7B4A">
      <w:pPr>
        <w:pStyle w:val="62"/>
        <w:numPr>
          <w:ilvl w:val="0"/>
          <w:numId w:val="0"/>
        </w:numPr>
        <w:snapToGrid w:val="0"/>
        <w:spacing w:line="360" w:lineRule="auto"/>
        <w:ind w:leftChars="0"/>
        <w:rPr>
          <w:rFonts w:ascii="宋体" w:hAnsi="宋体" w:eastAsia="宋体"/>
          <w:b/>
          <w:color w:val="auto"/>
          <w:kern w:val="2"/>
          <w:sz w:val="21"/>
          <w:szCs w:val="21"/>
        </w:rPr>
      </w:pPr>
    </w:p>
    <w:p w14:paraId="1C7BE2B8">
      <w:pPr>
        <w:tabs>
          <w:tab w:val="left" w:pos="1900"/>
        </w:tabs>
        <w:snapToGrid w:val="0"/>
        <w:spacing w:line="360" w:lineRule="auto"/>
        <w:ind w:firstLine="420" w:firstLineChars="200"/>
        <w:rPr>
          <w:rFonts w:hint="default" w:ascii="宋体" w:hAnsi="宋体" w:eastAsia="宋体"/>
          <w:color w:val="000000"/>
          <w:szCs w:val="21"/>
          <w:lang w:val="en-US" w:eastAsia="zh-CN"/>
        </w:rPr>
      </w:pPr>
      <w:r>
        <w:rPr>
          <w:rFonts w:hint="eastAsia" w:ascii="宋体" w:hAnsi="宋体" w:eastAsia="宋体"/>
          <w:color w:val="000000"/>
          <w:szCs w:val="21"/>
          <w:lang w:val="en-US" w:eastAsia="zh-CN"/>
        </w:rPr>
        <w:t>铜盂支行建成至今已超过20年，经第三方专业公司鉴定，该建筑物属于危房，目前已委托专业的结构设计单位进行加固设计，通过审图公司审核，计划对该建筑加固。加固过程会对建筑物结构修缮，也会破坏现有装修。因此，铜盂支行营业厅、办公场所进行装修和修缮。</w:t>
      </w:r>
    </w:p>
    <w:p w14:paraId="65E5A52C">
      <w:pPr>
        <w:pStyle w:val="62"/>
        <w:numPr>
          <w:ilvl w:val="0"/>
          <w:numId w:val="0"/>
        </w:numPr>
        <w:snapToGrid w:val="0"/>
        <w:spacing w:line="360" w:lineRule="auto"/>
        <w:ind w:leftChars="0"/>
        <w:rPr>
          <w:rFonts w:hint="default" w:ascii="宋体" w:hAnsi="宋体" w:eastAsia="宋体"/>
          <w:color w:val="auto"/>
          <w:sz w:val="21"/>
          <w:szCs w:val="21"/>
          <w:highlight w:val="none"/>
        </w:rPr>
      </w:pPr>
      <w:r>
        <w:rPr>
          <w:rFonts w:hint="eastAsia" w:ascii="宋体" w:hAnsi="宋体" w:eastAsia="宋体"/>
          <w:b/>
          <w:color w:val="auto"/>
          <w:kern w:val="2"/>
          <w:sz w:val="21"/>
          <w:szCs w:val="21"/>
          <w:lang w:val="en-US" w:eastAsia="zh-CN"/>
        </w:rPr>
        <w:t>1、</w:t>
      </w:r>
      <w:r>
        <w:rPr>
          <w:rFonts w:ascii="宋体" w:hAnsi="宋体" w:eastAsia="宋体"/>
          <w:b/>
          <w:color w:val="auto"/>
          <w:kern w:val="2"/>
          <w:sz w:val="21"/>
          <w:szCs w:val="21"/>
          <w:highlight w:val="none"/>
        </w:rPr>
        <w:t>主要工作内容与要求及承包范围：详见</w:t>
      </w:r>
      <w:r>
        <w:rPr>
          <w:rFonts w:hint="eastAsia" w:ascii="宋体" w:hAnsi="宋体" w:eastAsia="宋体"/>
          <w:b/>
          <w:color w:val="auto"/>
          <w:kern w:val="2"/>
          <w:sz w:val="21"/>
          <w:szCs w:val="21"/>
          <w:highlight w:val="none"/>
          <w:lang w:val="en-US" w:eastAsia="zh-CN"/>
        </w:rPr>
        <w:t>深圳市栋森工程项目管理</w:t>
      </w:r>
      <w:r>
        <w:rPr>
          <w:rFonts w:hint="eastAsia" w:ascii="宋体" w:hAnsi="宋体" w:eastAsia="宋体"/>
          <w:b/>
          <w:color w:val="auto"/>
          <w:kern w:val="2"/>
          <w:sz w:val="21"/>
          <w:szCs w:val="21"/>
          <w:highlight w:val="none"/>
          <w:lang w:eastAsia="zh-CN"/>
        </w:rPr>
        <w:t>有限公司编制的工程造价</w:t>
      </w:r>
      <w:r>
        <w:rPr>
          <w:rFonts w:hint="eastAsia" w:ascii="宋体" w:hAnsi="宋体" w:eastAsia="宋体" w:cs="Times New Roman"/>
          <w:b/>
          <w:color w:val="auto"/>
          <w:kern w:val="2"/>
          <w:sz w:val="21"/>
          <w:szCs w:val="21"/>
          <w:highlight w:val="none"/>
          <w:lang w:eastAsia="zh-CN"/>
        </w:rPr>
        <w:t>咨询报告书和深圳市特艺达装饰设计工程有限公司提供</w:t>
      </w:r>
      <w:r>
        <w:rPr>
          <w:rFonts w:hint="eastAsia" w:ascii="宋体" w:hAnsi="宋体" w:eastAsia="宋体"/>
          <w:b/>
          <w:color w:val="auto"/>
          <w:kern w:val="2"/>
          <w:sz w:val="21"/>
          <w:szCs w:val="21"/>
          <w:highlight w:val="none"/>
          <w:lang w:eastAsia="zh-CN"/>
        </w:rPr>
        <w:t>的项目相关的施工图纸</w:t>
      </w:r>
      <w:r>
        <w:rPr>
          <w:rFonts w:ascii="宋体" w:hAnsi="宋体" w:eastAsia="宋体"/>
          <w:b/>
          <w:color w:val="auto"/>
          <w:kern w:val="2"/>
          <w:sz w:val="21"/>
          <w:szCs w:val="21"/>
          <w:highlight w:val="none"/>
        </w:rPr>
        <w:t>（另册），并按施工图纸施工。</w:t>
      </w:r>
    </w:p>
    <w:p w14:paraId="3257E8C1">
      <w:pPr>
        <w:pStyle w:val="62"/>
        <w:numPr>
          <w:ilvl w:val="0"/>
          <w:numId w:val="0"/>
        </w:numPr>
        <w:snapToGrid w:val="0"/>
        <w:spacing w:line="360" w:lineRule="auto"/>
        <w:ind w:leftChars="0"/>
        <w:rPr>
          <w:rFonts w:hint="eastAsia" w:ascii="宋体" w:hAnsi="宋体"/>
          <w:b/>
          <w:bCs/>
          <w:color w:val="000000"/>
        </w:rPr>
      </w:pPr>
      <w:r>
        <w:rPr>
          <w:rFonts w:hint="eastAsia" w:ascii="宋体" w:hAnsi="宋体" w:eastAsia="宋体"/>
          <w:b/>
          <w:color w:val="auto"/>
          <w:sz w:val="21"/>
          <w:szCs w:val="21"/>
          <w:lang w:val="en-US" w:eastAsia="zh-CN"/>
        </w:rPr>
        <w:t>2、</w:t>
      </w:r>
      <w:r>
        <w:rPr>
          <w:rFonts w:ascii="宋体" w:hAnsi="宋体" w:eastAsia="宋体"/>
          <w:b/>
          <w:color w:val="auto"/>
          <w:sz w:val="21"/>
          <w:szCs w:val="21"/>
        </w:rPr>
        <w:t>承揽项目方式</w:t>
      </w:r>
      <w:r>
        <w:rPr>
          <w:rFonts w:ascii="宋体" w:hAnsi="宋体" w:eastAsia="宋体"/>
          <w:color w:val="auto"/>
          <w:sz w:val="21"/>
          <w:szCs w:val="21"/>
        </w:rPr>
        <w:t>：本工程实行固定总价合同包干，即按照招标图纸和工程量清单内容，要求包工、包料、包机械、包工期、包质量、包安全生产、包文明施工、包劳保、包验收、包保修等的承包方式。</w:t>
      </w:r>
    </w:p>
    <w:p w14:paraId="7F4A469E">
      <w:pPr>
        <w:spacing w:line="360" w:lineRule="auto"/>
        <w:outlineLvl w:val="1"/>
        <w:rPr>
          <w:rFonts w:hint="eastAsia" w:ascii="宋体" w:hAnsi="宋体" w:eastAsia="宋体"/>
          <w:b/>
          <w:color w:val="000000"/>
          <w:lang w:eastAsia="zh-CN"/>
        </w:rPr>
      </w:pPr>
      <w:bookmarkStart w:id="89" w:name="_Toc13773"/>
      <w:r>
        <w:rPr>
          <w:rFonts w:hint="eastAsia" w:ascii="宋体" w:hAnsi="宋体"/>
          <w:b/>
          <w:bCs/>
          <w:color w:val="000000"/>
        </w:rPr>
        <w:t>三、</w:t>
      </w:r>
      <w:r>
        <w:rPr>
          <w:rFonts w:hint="eastAsia" w:ascii="宋体" w:hAnsi="宋体"/>
          <w:b/>
          <w:bCs/>
          <w:color w:val="000000"/>
          <w:lang w:eastAsia="zh-CN"/>
        </w:rPr>
        <w:t>总体要求</w:t>
      </w:r>
      <w:bookmarkEnd w:id="89"/>
    </w:p>
    <w:p w14:paraId="5D03BF36">
      <w:pPr>
        <w:tabs>
          <w:tab w:val="left" w:pos="1900"/>
        </w:tabs>
        <w:snapToGrid w:val="0"/>
        <w:spacing w:line="360" w:lineRule="auto"/>
        <w:rPr>
          <w:rFonts w:hint="eastAsia" w:ascii="宋体" w:hAnsi="宋体"/>
          <w:color w:val="000000"/>
          <w:szCs w:val="21"/>
        </w:rPr>
      </w:pPr>
      <w:r>
        <w:rPr>
          <w:rFonts w:hint="eastAsia" w:ascii="宋体" w:hAnsi="宋体"/>
          <w:color w:val="000000"/>
          <w:szCs w:val="21"/>
          <w:lang w:val="en-US" w:eastAsia="zh-CN"/>
        </w:rPr>
        <w:t>1、</w:t>
      </w:r>
      <w:r>
        <w:rPr>
          <w:rFonts w:hint="eastAsia" w:ascii="宋体" w:hAnsi="宋体"/>
          <w:color w:val="000000"/>
          <w:szCs w:val="21"/>
        </w:rPr>
        <w:t>投标人应仔细研究阅读招标文件的所有内容，如发现文件有缺漏或不一致或有不同的理解时，应及时提请采购方补充和澄清，否则按</w:t>
      </w:r>
      <w:r>
        <w:rPr>
          <w:rFonts w:hint="eastAsia" w:ascii="宋体" w:hAnsi="宋体"/>
          <w:color w:val="000000"/>
          <w:szCs w:val="21"/>
          <w:lang w:eastAsia="zh-CN"/>
        </w:rPr>
        <w:t>采购人</w:t>
      </w:r>
      <w:r>
        <w:rPr>
          <w:rFonts w:hint="eastAsia" w:ascii="宋体" w:hAnsi="宋体"/>
          <w:color w:val="000000"/>
          <w:szCs w:val="21"/>
        </w:rPr>
        <w:t>的实际要求和理解执行。</w:t>
      </w:r>
    </w:p>
    <w:p w14:paraId="4F8385C1">
      <w:pPr>
        <w:tabs>
          <w:tab w:val="left" w:pos="1900"/>
        </w:tabs>
        <w:snapToGrid w:val="0"/>
        <w:spacing w:line="360" w:lineRule="auto"/>
        <w:rPr>
          <w:rFonts w:hint="eastAsia" w:ascii="宋体" w:hAnsi="宋体"/>
          <w:color w:val="000000"/>
          <w:szCs w:val="21"/>
        </w:rPr>
      </w:pPr>
      <w:r>
        <w:rPr>
          <w:rFonts w:hint="eastAsia" w:ascii="宋体" w:hAnsi="宋体"/>
          <w:color w:val="000000"/>
          <w:szCs w:val="21"/>
          <w:lang w:val="en-US" w:eastAsia="zh-CN"/>
        </w:rPr>
        <w:t>2、</w:t>
      </w:r>
      <w:r>
        <w:rPr>
          <w:rFonts w:hint="eastAsia" w:ascii="宋体" w:hAnsi="宋体"/>
          <w:color w:val="000000"/>
          <w:szCs w:val="21"/>
        </w:rPr>
        <w:t>本招标文件与图纸（若有）的规定和要求基本是一致的，应互相对照阅读和使用。如果招标文件未有叙述或与图纸有矛盾时，除招标文件特别要求外，应依照设计图纸要求。</w:t>
      </w:r>
    </w:p>
    <w:p w14:paraId="618FFA7A">
      <w:pPr>
        <w:tabs>
          <w:tab w:val="left" w:pos="1900"/>
        </w:tabs>
        <w:snapToGrid w:val="0"/>
        <w:spacing w:line="360" w:lineRule="auto"/>
        <w:rPr>
          <w:rFonts w:hint="eastAsia" w:ascii="宋体" w:hAnsi="宋体"/>
          <w:color w:val="000000"/>
          <w:szCs w:val="21"/>
        </w:rPr>
      </w:pPr>
      <w:r>
        <w:rPr>
          <w:rFonts w:hint="eastAsia" w:ascii="宋体" w:hAnsi="宋体"/>
          <w:color w:val="000000"/>
          <w:szCs w:val="21"/>
          <w:lang w:val="en-US" w:eastAsia="zh-CN"/>
        </w:rPr>
        <w:t>3、</w:t>
      </w:r>
      <w:r>
        <w:rPr>
          <w:rFonts w:hint="eastAsia" w:ascii="宋体" w:hAnsi="宋体"/>
          <w:color w:val="000000"/>
          <w:szCs w:val="21"/>
        </w:rPr>
        <w:t>除非图纸和本技术要求有特别要求，本项目提出的是最低限度的要求，并未对一切细节作出规定，也未充分引述全部有关标准和规范的条文，投标人提供的所有货物（包括设计、制造、测试和安装）都应符合招标时已颁布的现行中国国家或国家认可的（部颁、行业）标准和国内外标准化组织以及等效或更优的其他国家的权威性标准和规范的有关条文。如果这些标准内容有矛盾时，应按最高标准的条款执行。</w:t>
      </w:r>
    </w:p>
    <w:p w14:paraId="79578DDC">
      <w:pPr>
        <w:pStyle w:val="62"/>
        <w:numPr>
          <w:ilvl w:val="0"/>
          <w:numId w:val="0"/>
        </w:numPr>
        <w:snapToGrid w:val="0"/>
        <w:spacing w:line="360" w:lineRule="auto"/>
        <w:rPr>
          <w:rFonts w:hint="default" w:ascii="宋体" w:hAnsi="宋体" w:eastAsia="宋体"/>
          <w:b/>
          <w:color w:val="auto"/>
          <w:kern w:val="2"/>
          <w:sz w:val="21"/>
          <w:szCs w:val="21"/>
        </w:rPr>
      </w:pPr>
      <w:bookmarkStart w:id="90" w:name="_Toc441052036"/>
      <w:bookmarkStart w:id="91" w:name="_Toc12330396"/>
      <w:bookmarkStart w:id="92" w:name="_Toc11771771"/>
      <w:bookmarkStart w:id="93" w:name="_Toc338083267"/>
      <w:bookmarkStart w:id="94" w:name="_Toc19099503"/>
      <w:bookmarkStart w:id="95" w:name="_Toc27840483"/>
      <w:bookmarkStart w:id="96" w:name="_Toc13884769"/>
      <w:bookmarkStart w:id="97" w:name="_Toc11771900"/>
      <w:bookmarkStart w:id="98" w:name="_Toc12378037"/>
      <w:bookmarkStart w:id="99" w:name="_Toc12861158"/>
      <w:r>
        <w:rPr>
          <w:rFonts w:hint="eastAsia" w:ascii="宋体" w:hAnsi="宋体" w:eastAsia="宋体"/>
          <w:b/>
          <w:color w:val="auto"/>
          <w:kern w:val="2"/>
          <w:sz w:val="21"/>
          <w:szCs w:val="21"/>
          <w:lang w:eastAsia="zh-CN"/>
        </w:rPr>
        <w:t>四、</w:t>
      </w:r>
      <w:r>
        <w:rPr>
          <w:rFonts w:ascii="宋体" w:hAnsi="宋体" w:eastAsia="宋体"/>
          <w:b/>
          <w:color w:val="auto"/>
          <w:kern w:val="2"/>
          <w:sz w:val="21"/>
          <w:szCs w:val="21"/>
        </w:rPr>
        <w:t>项目要求</w:t>
      </w:r>
      <w:bookmarkEnd w:id="90"/>
    </w:p>
    <w:p w14:paraId="1E26D497">
      <w:pPr>
        <w:numPr>
          <w:ilvl w:val="0"/>
          <w:numId w:val="8"/>
        </w:numPr>
        <w:tabs>
          <w:tab w:val="left" w:pos="426"/>
        </w:tabs>
        <w:autoSpaceDE/>
        <w:autoSpaceDN/>
        <w:snapToGrid w:val="0"/>
        <w:spacing w:line="360" w:lineRule="auto"/>
        <w:rPr>
          <w:rFonts w:ascii="宋体" w:hAnsi="宋体" w:cs="宋体"/>
        </w:rPr>
      </w:pPr>
      <w:r>
        <w:rPr>
          <w:rFonts w:hint="eastAsia" w:ascii="宋体" w:hAnsi="宋体" w:cs="宋体"/>
          <w:lang w:eastAsia="zh-CN"/>
        </w:rPr>
        <w:t>中标人</w:t>
      </w:r>
      <w:r>
        <w:rPr>
          <w:rFonts w:hint="eastAsia" w:ascii="宋体" w:hAnsi="宋体" w:cs="宋体"/>
        </w:rPr>
        <w:t>必须按</w:t>
      </w:r>
      <w:r>
        <w:rPr>
          <w:rFonts w:hint="eastAsia" w:ascii="宋体" w:hAnsi="宋体" w:cs="宋体"/>
          <w:lang w:eastAsia="zh-CN"/>
        </w:rPr>
        <w:t>招标</w:t>
      </w:r>
      <w:r>
        <w:rPr>
          <w:rFonts w:hint="eastAsia" w:ascii="宋体" w:hAnsi="宋体" w:cs="宋体"/>
        </w:rPr>
        <w:t>文件提供管理人员名单委派现场管理人员，非采购人要求的，原则上不得更换。如需更换必须提交书面申请，经采购人同意后方能更换，否则当</w:t>
      </w:r>
      <w:r>
        <w:rPr>
          <w:rFonts w:hint="eastAsia" w:ascii="宋体" w:hAnsi="宋体" w:cs="宋体"/>
          <w:lang w:eastAsia="zh-CN"/>
        </w:rPr>
        <w:t>中标人</w:t>
      </w:r>
      <w:r>
        <w:rPr>
          <w:rFonts w:hint="eastAsia" w:ascii="宋体" w:hAnsi="宋体" w:cs="宋体"/>
        </w:rPr>
        <w:t>违反合同规定处理。</w:t>
      </w:r>
    </w:p>
    <w:p w14:paraId="41141B05">
      <w:pPr>
        <w:numPr>
          <w:ilvl w:val="0"/>
          <w:numId w:val="8"/>
        </w:numPr>
        <w:tabs>
          <w:tab w:val="left" w:pos="426"/>
        </w:tabs>
        <w:autoSpaceDE/>
        <w:autoSpaceDN/>
        <w:snapToGrid w:val="0"/>
        <w:spacing w:line="360" w:lineRule="auto"/>
        <w:rPr>
          <w:rFonts w:ascii="宋体" w:hAnsi="宋体" w:cs="宋体"/>
        </w:rPr>
      </w:pPr>
      <w:r>
        <w:rPr>
          <w:rFonts w:hint="eastAsia" w:ascii="宋体" w:hAnsi="宋体" w:cs="宋体"/>
          <w:lang w:eastAsia="zh-CN"/>
        </w:rPr>
        <w:t>中标人</w:t>
      </w:r>
      <w:r>
        <w:rPr>
          <w:rFonts w:hint="eastAsia" w:ascii="宋体" w:hAnsi="宋体" w:cs="宋体"/>
        </w:rPr>
        <w:t>不得在合同期内私下将本项目转包，一经发现，采购人有权取消</w:t>
      </w:r>
      <w:r>
        <w:rPr>
          <w:rFonts w:hint="eastAsia" w:ascii="宋体" w:hAnsi="宋体" w:cs="宋体"/>
          <w:lang w:eastAsia="zh-CN"/>
        </w:rPr>
        <w:t>中标人</w:t>
      </w:r>
      <w:r>
        <w:rPr>
          <w:rFonts w:hint="eastAsia" w:ascii="宋体" w:hAnsi="宋体" w:cs="宋体"/>
        </w:rPr>
        <w:t>的承包资格并追究其相关法律责任。</w:t>
      </w:r>
    </w:p>
    <w:p w14:paraId="2C6E1565">
      <w:pPr>
        <w:numPr>
          <w:ilvl w:val="0"/>
          <w:numId w:val="8"/>
        </w:numPr>
        <w:tabs>
          <w:tab w:val="left" w:pos="426"/>
        </w:tabs>
        <w:autoSpaceDE/>
        <w:autoSpaceDN/>
        <w:snapToGrid w:val="0"/>
        <w:spacing w:line="360" w:lineRule="auto"/>
        <w:rPr>
          <w:rFonts w:ascii="宋体" w:hAnsi="宋体" w:cs="宋体"/>
        </w:rPr>
      </w:pPr>
      <w:r>
        <w:rPr>
          <w:rFonts w:hint="eastAsia" w:ascii="宋体" w:hAnsi="宋体" w:cs="宋体"/>
          <w:lang w:eastAsia="zh-CN"/>
        </w:rPr>
        <w:t>中标人</w:t>
      </w:r>
      <w:r>
        <w:rPr>
          <w:rFonts w:hint="eastAsia" w:ascii="宋体" w:hAnsi="宋体" w:cs="宋体"/>
        </w:rPr>
        <w:t>必须提交进场施工人员名单及身份证复印件给采购人备案，且必须在采购人所属有关部门办理出入证。</w:t>
      </w:r>
    </w:p>
    <w:p w14:paraId="7F5DDFA7">
      <w:pPr>
        <w:numPr>
          <w:ilvl w:val="0"/>
          <w:numId w:val="8"/>
        </w:numPr>
        <w:tabs>
          <w:tab w:val="left" w:pos="426"/>
        </w:tabs>
        <w:autoSpaceDE/>
        <w:autoSpaceDN/>
        <w:snapToGrid w:val="0"/>
        <w:spacing w:line="360" w:lineRule="auto"/>
        <w:rPr>
          <w:rFonts w:ascii="宋体" w:hAnsi="宋体" w:cs="宋体"/>
        </w:rPr>
      </w:pPr>
      <w:r>
        <w:rPr>
          <w:rFonts w:hint="eastAsia" w:ascii="宋体" w:hAnsi="宋体" w:cs="宋体"/>
        </w:rPr>
        <w:t>施工人员必须严格遵守一切规章制度，自觉接受检查，无证人员一律不得进入施工现场，施工人员未经批准不得进入其他区域。</w:t>
      </w:r>
    </w:p>
    <w:p w14:paraId="1280D951">
      <w:pPr>
        <w:numPr>
          <w:ilvl w:val="0"/>
          <w:numId w:val="8"/>
        </w:numPr>
        <w:tabs>
          <w:tab w:val="left" w:pos="426"/>
        </w:tabs>
        <w:autoSpaceDE/>
        <w:autoSpaceDN/>
        <w:snapToGrid w:val="0"/>
        <w:spacing w:line="360" w:lineRule="auto"/>
        <w:rPr>
          <w:rFonts w:ascii="宋体" w:hAnsi="宋体" w:cs="宋体"/>
        </w:rPr>
      </w:pPr>
      <w:r>
        <w:rPr>
          <w:rFonts w:hint="eastAsia" w:ascii="宋体" w:hAnsi="宋体" w:cs="宋体"/>
          <w:lang w:eastAsia="zh-CN"/>
        </w:rPr>
        <w:t>中标人</w:t>
      </w:r>
      <w:r>
        <w:rPr>
          <w:rFonts w:hint="eastAsia" w:ascii="宋体" w:hAnsi="宋体" w:cs="宋体"/>
        </w:rPr>
        <w:t>必须遵守建设单位施工现场和人员管理的规定，安全生产，文明施工。</w:t>
      </w:r>
    </w:p>
    <w:p w14:paraId="5BD360B7">
      <w:pPr>
        <w:numPr>
          <w:ilvl w:val="0"/>
          <w:numId w:val="8"/>
        </w:numPr>
        <w:tabs>
          <w:tab w:val="left" w:pos="426"/>
        </w:tabs>
        <w:autoSpaceDE/>
        <w:autoSpaceDN/>
        <w:snapToGrid w:val="0"/>
        <w:spacing w:line="360" w:lineRule="auto"/>
        <w:rPr>
          <w:rFonts w:ascii="宋体" w:hAnsi="宋体" w:cs="宋体"/>
        </w:rPr>
      </w:pPr>
      <w:r>
        <w:rPr>
          <w:rFonts w:hint="eastAsia" w:ascii="宋体" w:hAnsi="宋体" w:cs="宋体"/>
          <w:lang w:eastAsia="zh-CN"/>
        </w:rPr>
        <w:t>中标人</w:t>
      </w:r>
      <w:r>
        <w:rPr>
          <w:rFonts w:hint="eastAsia" w:ascii="宋体" w:hAnsi="宋体" w:cs="宋体"/>
        </w:rPr>
        <w:t>在施工过程中，如遇到需与外部相关的单位协调的问题时，应自行解决，采购人只负责协助。</w:t>
      </w:r>
    </w:p>
    <w:p w14:paraId="4CD633A1">
      <w:pPr>
        <w:numPr>
          <w:ilvl w:val="0"/>
          <w:numId w:val="8"/>
        </w:numPr>
        <w:tabs>
          <w:tab w:val="left" w:pos="426"/>
        </w:tabs>
        <w:autoSpaceDE/>
        <w:autoSpaceDN/>
        <w:snapToGrid w:val="0"/>
        <w:spacing w:line="360" w:lineRule="auto"/>
        <w:rPr>
          <w:rFonts w:ascii="宋体" w:hAnsi="宋体" w:cs="宋体"/>
        </w:rPr>
      </w:pPr>
      <w:r>
        <w:rPr>
          <w:rFonts w:hint="eastAsia" w:ascii="宋体" w:hAnsi="宋体" w:cs="宋体"/>
          <w:lang w:eastAsia="zh-CN"/>
        </w:rPr>
        <w:t>中标人</w:t>
      </w:r>
      <w:r>
        <w:rPr>
          <w:rFonts w:hint="eastAsia" w:ascii="宋体" w:hAnsi="宋体" w:cs="宋体"/>
        </w:rPr>
        <w:t>必须注意施工安全，做好安全文明施工工作，如因措施不当造成人身安全或工伤死亡事故，一切责任由</w:t>
      </w:r>
      <w:r>
        <w:rPr>
          <w:rFonts w:hint="eastAsia" w:ascii="宋体" w:hAnsi="宋体" w:cs="宋体"/>
          <w:lang w:eastAsia="zh-CN"/>
        </w:rPr>
        <w:t>中标人</w:t>
      </w:r>
      <w:r>
        <w:rPr>
          <w:rFonts w:hint="eastAsia" w:ascii="宋体" w:hAnsi="宋体" w:cs="宋体"/>
        </w:rPr>
        <w:t>负责。</w:t>
      </w:r>
    </w:p>
    <w:p w14:paraId="0824E61D">
      <w:pPr>
        <w:pStyle w:val="62"/>
        <w:numPr>
          <w:ilvl w:val="0"/>
          <w:numId w:val="0"/>
        </w:numPr>
        <w:snapToGrid w:val="0"/>
        <w:spacing w:line="360" w:lineRule="auto"/>
        <w:rPr>
          <w:rFonts w:hint="default" w:ascii="宋体" w:hAnsi="宋体" w:eastAsia="宋体"/>
          <w:b/>
          <w:color w:val="auto"/>
          <w:sz w:val="21"/>
          <w:szCs w:val="21"/>
        </w:rPr>
      </w:pPr>
      <w:r>
        <w:rPr>
          <w:rFonts w:hint="eastAsia" w:ascii="宋体" w:hAnsi="宋体" w:eastAsia="宋体"/>
          <w:b/>
          <w:color w:val="auto"/>
          <w:sz w:val="21"/>
          <w:szCs w:val="21"/>
          <w:lang w:eastAsia="zh-CN"/>
        </w:rPr>
        <w:t>五、</w:t>
      </w:r>
      <w:r>
        <w:rPr>
          <w:rFonts w:ascii="宋体" w:hAnsi="宋体" w:eastAsia="宋体"/>
          <w:b/>
          <w:color w:val="auto"/>
          <w:sz w:val="21"/>
          <w:szCs w:val="21"/>
        </w:rPr>
        <w:t>质量要求和质量保修期</w:t>
      </w:r>
    </w:p>
    <w:p w14:paraId="787BD048">
      <w:pPr>
        <w:numPr>
          <w:ilvl w:val="0"/>
          <w:numId w:val="9"/>
        </w:numPr>
        <w:snapToGrid w:val="0"/>
        <w:spacing w:line="360" w:lineRule="auto"/>
        <w:rPr>
          <w:rFonts w:ascii="宋体" w:hAnsi="宋体" w:cs="Courier New"/>
          <w:kern w:val="2"/>
        </w:rPr>
      </w:pPr>
      <w:r>
        <w:rPr>
          <w:rFonts w:hint="eastAsia" w:ascii="宋体" w:hAnsi="宋体" w:cs="Courier New"/>
          <w:kern w:val="2"/>
        </w:rPr>
        <w:t>质量：符合</w:t>
      </w:r>
      <w:r>
        <w:rPr>
          <w:rFonts w:hint="eastAsia" w:ascii="宋体" w:hAnsi="宋体"/>
        </w:rPr>
        <w:t>现行国家、地方和行业设计规范</w:t>
      </w:r>
      <w:r>
        <w:rPr>
          <w:rFonts w:hint="eastAsia" w:ascii="宋体" w:hAnsi="宋体" w:cs="Courier New"/>
          <w:kern w:val="2"/>
        </w:rPr>
        <w:t>和验收规范文件执行。</w:t>
      </w:r>
    </w:p>
    <w:p w14:paraId="475AE1AB">
      <w:pPr>
        <w:numPr>
          <w:ilvl w:val="0"/>
          <w:numId w:val="9"/>
        </w:numPr>
        <w:snapToGrid w:val="0"/>
        <w:spacing w:line="360" w:lineRule="auto"/>
        <w:jc w:val="both"/>
        <w:rPr>
          <w:rFonts w:ascii="宋体" w:hAnsi="宋体" w:cs="宋体"/>
        </w:rPr>
      </w:pPr>
      <w:r>
        <w:rPr>
          <w:rFonts w:hint="eastAsia" w:ascii="宋体"/>
        </w:rPr>
        <w:t>质保期：工程保修期为</w:t>
      </w:r>
      <w:r>
        <w:rPr>
          <w:rFonts w:hint="eastAsia" w:ascii="宋体"/>
          <w:lang w:val="en-US" w:eastAsia="zh-CN"/>
        </w:rPr>
        <w:t>2</w:t>
      </w:r>
      <w:r>
        <w:rPr>
          <w:rFonts w:hint="eastAsia" w:ascii="宋体"/>
        </w:rPr>
        <w:t>年，保修期自竣工验收之日起计算，质保期内</w:t>
      </w:r>
      <w:r>
        <w:rPr>
          <w:rFonts w:hint="eastAsia" w:ascii="宋体"/>
          <w:lang w:eastAsia="zh-CN"/>
        </w:rPr>
        <w:t>中标人</w:t>
      </w:r>
      <w:r>
        <w:rPr>
          <w:rFonts w:hint="eastAsia" w:ascii="宋体"/>
        </w:rPr>
        <w:t>须进行质量“三包”。质保期及文件中未列明的其它项目的保修期按国家现行的质量保修办法的规定执行</w:t>
      </w:r>
    </w:p>
    <w:p w14:paraId="76E6F9E9">
      <w:pPr>
        <w:numPr>
          <w:ilvl w:val="0"/>
          <w:numId w:val="9"/>
        </w:numPr>
        <w:snapToGrid w:val="0"/>
        <w:spacing w:line="360" w:lineRule="auto"/>
        <w:jc w:val="both"/>
        <w:rPr>
          <w:rFonts w:ascii="宋体" w:hAnsi="宋体" w:cs="宋体"/>
        </w:rPr>
      </w:pPr>
      <w:r>
        <w:rPr>
          <w:rFonts w:hint="eastAsia" w:ascii="宋体" w:hAnsi="宋体" w:cs="宋体"/>
        </w:rPr>
        <w:t>对采购人的服务通知，</w:t>
      </w:r>
      <w:r>
        <w:rPr>
          <w:rFonts w:hint="eastAsia" w:ascii="宋体" w:hAnsi="宋体" w:cs="宋体"/>
          <w:lang w:eastAsia="zh-CN"/>
        </w:rPr>
        <w:t>中标人</w:t>
      </w:r>
      <w:r>
        <w:rPr>
          <w:rFonts w:hint="eastAsia" w:ascii="宋体" w:hAnsi="宋体" w:cs="宋体"/>
        </w:rPr>
        <w:t>在接报后1小时内响应，4小时内到达现场，48小时内处理完毕。若在48小时内仍未能有效解决，</w:t>
      </w:r>
      <w:r>
        <w:rPr>
          <w:rFonts w:hint="eastAsia" w:ascii="宋体" w:hAnsi="宋体" w:cs="宋体"/>
          <w:lang w:eastAsia="zh-CN"/>
        </w:rPr>
        <w:t>中标人</w:t>
      </w:r>
      <w:r>
        <w:rPr>
          <w:rFonts w:hint="eastAsia" w:ascii="宋体" w:hAnsi="宋体" w:cs="宋体"/>
        </w:rPr>
        <w:t>须免费提供同档次的材料设备予采购人临时使用。</w:t>
      </w:r>
    </w:p>
    <w:p w14:paraId="2B369B8F">
      <w:pPr>
        <w:tabs>
          <w:tab w:val="left" w:pos="540"/>
        </w:tabs>
        <w:snapToGrid w:val="0"/>
        <w:spacing w:line="360" w:lineRule="auto"/>
        <w:ind w:left="6"/>
        <w:rPr>
          <w:rFonts w:ascii="宋体" w:hAnsi="宋体" w:cs="宋体"/>
          <w:b/>
          <w:bCs/>
          <w:highlight w:val="none"/>
        </w:rPr>
      </w:pPr>
      <w:r>
        <w:rPr>
          <w:rFonts w:hint="eastAsia" w:ascii="宋体" w:hAnsi="宋体" w:cs="宋体"/>
          <w:b/>
          <w:bCs/>
          <w:highlight w:val="none"/>
        </w:rPr>
        <w:t>六．项目款项支付及结算</w:t>
      </w:r>
    </w:p>
    <w:p w14:paraId="5ADA16D9">
      <w:pPr>
        <w:snapToGrid w:val="0"/>
        <w:spacing w:line="360" w:lineRule="auto"/>
        <w:rPr>
          <w:rFonts w:ascii="宋体" w:hAnsi="宋体" w:cs="Courier New"/>
          <w:highlight w:val="none"/>
        </w:rPr>
      </w:pPr>
      <w:r>
        <w:rPr>
          <w:rFonts w:hint="eastAsia" w:ascii="宋体" w:hAnsi="宋体" w:cs="Courier New"/>
          <w:highlight w:val="none"/>
        </w:rPr>
        <w:t>1.  项目进度款：按月支付，支付当期完成工程量产值的80%，采购人在收到发票凭证资料后15个工作日内向中标人支付。</w:t>
      </w:r>
    </w:p>
    <w:p w14:paraId="3ADE27B9">
      <w:pPr>
        <w:tabs>
          <w:tab w:val="left" w:pos="426"/>
        </w:tabs>
        <w:snapToGrid w:val="0"/>
        <w:spacing w:line="360" w:lineRule="auto"/>
        <w:rPr>
          <w:rFonts w:ascii="宋体" w:hAnsi="宋体" w:cs="宋体"/>
          <w:highlight w:val="none"/>
        </w:rPr>
      </w:pPr>
      <w:r>
        <w:rPr>
          <w:rFonts w:hint="eastAsia" w:ascii="宋体" w:hAnsi="宋体" w:cs="宋体"/>
          <w:highlight w:val="none"/>
        </w:rPr>
        <w:t>2.  项目竣工款：当工程完工后支付合同内产值80%，采购人在收到发票凭证资料后15个工作日内向中标人支付。</w:t>
      </w:r>
    </w:p>
    <w:p w14:paraId="6F8027DE">
      <w:pPr>
        <w:tabs>
          <w:tab w:val="left" w:pos="426"/>
        </w:tabs>
        <w:snapToGrid w:val="0"/>
        <w:spacing w:line="360" w:lineRule="auto"/>
        <w:rPr>
          <w:rFonts w:ascii="宋体" w:hAnsi="宋体" w:cs="宋体"/>
          <w:highlight w:val="none"/>
        </w:rPr>
      </w:pPr>
      <w:r>
        <w:rPr>
          <w:rFonts w:hint="eastAsia" w:ascii="宋体" w:hAnsi="宋体" w:cs="宋体"/>
          <w:highlight w:val="none"/>
        </w:rPr>
        <w:t>3.  完成结算审核定案后，采购人在收到发票凭证资料后28个工作日内向中标人支付到结算定价的</w:t>
      </w:r>
      <w:r>
        <w:rPr>
          <w:rFonts w:hint="eastAsia" w:ascii="宋体" w:hAnsi="宋体" w:cs="宋体"/>
          <w:highlight w:val="none"/>
          <w:u w:val="single"/>
        </w:rPr>
        <w:t>97</w:t>
      </w:r>
      <w:r>
        <w:rPr>
          <w:rFonts w:hint="eastAsia" w:ascii="宋体" w:hAnsi="宋体" w:cs="宋体"/>
          <w:highlight w:val="none"/>
        </w:rPr>
        <w:t>%，剩余</w:t>
      </w:r>
      <w:r>
        <w:rPr>
          <w:rFonts w:hint="eastAsia" w:ascii="宋体" w:hAnsi="宋体" w:cs="宋体"/>
          <w:highlight w:val="none"/>
          <w:u w:val="single"/>
        </w:rPr>
        <w:t xml:space="preserve"> 3% </w:t>
      </w:r>
      <w:r>
        <w:rPr>
          <w:rFonts w:hint="eastAsia" w:ascii="宋体" w:hAnsi="宋体" w:cs="宋体"/>
          <w:highlight w:val="none"/>
        </w:rPr>
        <w:t>为本项目质量保证金。</w:t>
      </w:r>
    </w:p>
    <w:p w14:paraId="5FD3D43D">
      <w:pPr>
        <w:tabs>
          <w:tab w:val="left" w:pos="426"/>
        </w:tabs>
        <w:snapToGrid w:val="0"/>
        <w:spacing w:line="360" w:lineRule="auto"/>
        <w:rPr>
          <w:rFonts w:ascii="宋体" w:hAnsi="宋体" w:cs="宋体"/>
          <w:highlight w:val="none"/>
        </w:rPr>
      </w:pPr>
      <w:r>
        <w:rPr>
          <w:rFonts w:hint="eastAsia" w:ascii="宋体" w:hAnsi="宋体" w:cs="宋体"/>
          <w:highlight w:val="none"/>
        </w:rPr>
        <w:t>4.  质量保证金：质量保证金在工程竣工验收合格后满二年后15个工作日内办理退还手续。（质量保证金可用保函形式）</w:t>
      </w:r>
    </w:p>
    <w:p w14:paraId="46C3FC0A">
      <w:pPr>
        <w:tabs>
          <w:tab w:val="left" w:pos="426"/>
        </w:tabs>
        <w:snapToGrid w:val="0"/>
        <w:spacing w:line="360" w:lineRule="auto"/>
        <w:rPr>
          <w:rFonts w:ascii="宋体" w:hAnsi="宋体" w:cs="宋体"/>
          <w:highlight w:val="none"/>
        </w:rPr>
      </w:pPr>
      <w:r>
        <w:rPr>
          <w:rFonts w:hint="eastAsia" w:ascii="宋体" w:hAnsi="宋体" w:cs="宋体"/>
          <w:highlight w:val="none"/>
        </w:rPr>
        <w:t>5.  每次</w:t>
      </w:r>
      <w:r>
        <w:rPr>
          <w:rFonts w:hint="eastAsia" w:ascii="宋体" w:hAnsi="宋体" w:cs="宋体"/>
          <w:highlight w:val="none"/>
          <w:lang w:eastAsia="zh-TW"/>
        </w:rPr>
        <w:t>按合同支付款项前，</w:t>
      </w:r>
      <w:r>
        <w:rPr>
          <w:rFonts w:hint="eastAsia" w:ascii="宋体" w:hAnsi="宋体" w:cs="宋体"/>
          <w:highlight w:val="none"/>
        </w:rPr>
        <w:t>中标人应</w:t>
      </w:r>
      <w:r>
        <w:rPr>
          <w:rFonts w:hint="eastAsia" w:ascii="宋体" w:hAnsi="宋体" w:cs="宋体"/>
          <w:highlight w:val="none"/>
          <w:lang w:eastAsia="zh-TW"/>
        </w:rPr>
        <w:t>向采购人提供与支付金额相符的合法有效完整的完税发票及凭证资料，且收款方、出具发票方、合同乙方均必须与</w:t>
      </w:r>
      <w:r>
        <w:rPr>
          <w:rFonts w:hint="eastAsia" w:ascii="宋体" w:hAnsi="宋体" w:cs="宋体"/>
          <w:highlight w:val="none"/>
        </w:rPr>
        <w:t>中标人</w:t>
      </w:r>
      <w:r>
        <w:rPr>
          <w:rFonts w:hint="eastAsia" w:ascii="宋体" w:hAnsi="宋体" w:cs="宋体"/>
          <w:highlight w:val="none"/>
          <w:lang w:eastAsia="zh-TW"/>
        </w:rPr>
        <w:t>名称一致；</w:t>
      </w:r>
    </w:p>
    <w:p w14:paraId="05DD898B">
      <w:pPr>
        <w:tabs>
          <w:tab w:val="left" w:pos="426"/>
        </w:tabs>
        <w:snapToGrid w:val="0"/>
        <w:spacing w:line="360" w:lineRule="auto"/>
        <w:rPr>
          <w:rFonts w:ascii="宋体" w:hAnsi="宋体" w:cs="宋体"/>
          <w:highlight w:val="none"/>
        </w:rPr>
      </w:pPr>
      <w:r>
        <w:rPr>
          <w:rFonts w:hint="eastAsia" w:ascii="宋体" w:hAnsi="宋体" w:cs="宋体"/>
          <w:highlight w:val="none"/>
        </w:rPr>
        <w:t>6.  违约责任：</w:t>
      </w:r>
      <w:r>
        <w:rPr>
          <w:rFonts w:hint="eastAsia" w:ascii="宋体" w:hAnsi="宋体" w:cs="宋体"/>
          <w:highlight w:val="none"/>
          <w:lang w:eastAsia="zh-TW"/>
        </w:rPr>
        <w:t>采购人逾期</w:t>
      </w:r>
      <w:r>
        <w:rPr>
          <w:rFonts w:hint="eastAsia" w:ascii="宋体" w:hAnsi="宋体" w:cs="宋体"/>
          <w:highlight w:val="none"/>
        </w:rPr>
        <w:t>支付合同款项</w:t>
      </w:r>
      <w:r>
        <w:rPr>
          <w:rFonts w:hint="eastAsia" w:ascii="宋体" w:hAnsi="宋体" w:cs="宋体"/>
          <w:highlight w:val="none"/>
          <w:lang w:eastAsia="zh-TW"/>
        </w:rPr>
        <w:t>的，除应当</w:t>
      </w:r>
      <w:r>
        <w:rPr>
          <w:rFonts w:hint="eastAsia" w:ascii="宋体" w:hAnsi="宋体" w:cs="宋体"/>
          <w:highlight w:val="none"/>
        </w:rPr>
        <w:t>支付合同款项</w:t>
      </w:r>
      <w:r>
        <w:rPr>
          <w:rFonts w:hint="eastAsia" w:ascii="宋体" w:hAnsi="宋体" w:cs="宋体"/>
          <w:highlight w:val="none"/>
          <w:lang w:eastAsia="zh-TW"/>
        </w:rPr>
        <w:t>外，还应当每日按合同总价的3‰向</w:t>
      </w:r>
      <w:r>
        <w:rPr>
          <w:rFonts w:hint="eastAsia" w:ascii="宋体" w:hAnsi="宋体" w:cs="宋体"/>
          <w:highlight w:val="none"/>
        </w:rPr>
        <w:t>中标人</w:t>
      </w:r>
      <w:r>
        <w:rPr>
          <w:rFonts w:hint="eastAsia" w:ascii="宋体" w:hAnsi="宋体" w:cs="宋体"/>
          <w:highlight w:val="none"/>
          <w:lang w:eastAsia="zh-TW"/>
        </w:rPr>
        <w:t>偿付违约金，但因</w:t>
      </w:r>
      <w:r>
        <w:rPr>
          <w:rFonts w:hint="eastAsia" w:ascii="宋体" w:hAnsi="宋体" w:cs="宋体"/>
          <w:highlight w:val="none"/>
        </w:rPr>
        <w:t>中标人</w:t>
      </w:r>
      <w:r>
        <w:rPr>
          <w:rFonts w:hint="eastAsia" w:ascii="宋体" w:hAnsi="宋体" w:cs="宋体"/>
          <w:highlight w:val="none"/>
          <w:lang w:eastAsia="zh-TW"/>
        </w:rPr>
        <w:t>自身原因导致无法及时</w:t>
      </w:r>
      <w:r>
        <w:rPr>
          <w:rFonts w:hint="eastAsia" w:ascii="宋体" w:hAnsi="宋体" w:cs="宋体"/>
          <w:highlight w:val="none"/>
        </w:rPr>
        <w:t>支付</w:t>
      </w:r>
      <w:r>
        <w:rPr>
          <w:rFonts w:hint="eastAsia" w:ascii="宋体" w:hAnsi="宋体" w:cs="宋体"/>
          <w:highlight w:val="none"/>
          <w:lang w:eastAsia="zh-TW"/>
        </w:rPr>
        <w:t>的除外</w:t>
      </w:r>
      <w:r>
        <w:rPr>
          <w:rFonts w:hint="eastAsia" w:ascii="宋体" w:hAnsi="宋体" w:cs="宋体"/>
          <w:highlight w:val="none"/>
        </w:rPr>
        <w:t>。</w:t>
      </w:r>
    </w:p>
    <w:p w14:paraId="6F118085">
      <w:pPr>
        <w:tabs>
          <w:tab w:val="left" w:pos="426"/>
        </w:tabs>
        <w:snapToGrid w:val="0"/>
        <w:spacing w:line="360" w:lineRule="auto"/>
        <w:rPr>
          <w:rFonts w:ascii="宋体" w:hAnsi="宋体" w:cs="宋体"/>
          <w:highlight w:val="none"/>
        </w:rPr>
      </w:pPr>
      <w:r>
        <w:rPr>
          <w:rFonts w:hint="eastAsia" w:ascii="宋体" w:hAnsi="宋体" w:cs="宋体"/>
          <w:highlight w:val="none"/>
        </w:rPr>
        <w:t>7.  付款方式：采用支票、银行汇票、电汇三种形式。</w:t>
      </w:r>
    </w:p>
    <w:p w14:paraId="3E6B50BB">
      <w:pPr>
        <w:pStyle w:val="62"/>
        <w:numPr>
          <w:ilvl w:val="0"/>
          <w:numId w:val="0"/>
        </w:numPr>
        <w:snapToGrid w:val="0"/>
        <w:spacing w:line="360" w:lineRule="auto"/>
        <w:rPr>
          <w:rFonts w:hint="default" w:ascii="宋体" w:hAnsi="宋体" w:eastAsia="宋体" w:cs="宋体"/>
          <w:b/>
          <w:color w:val="auto"/>
          <w:sz w:val="21"/>
          <w:szCs w:val="21"/>
        </w:rPr>
      </w:pPr>
      <w:r>
        <w:rPr>
          <w:rFonts w:hint="eastAsia" w:ascii="宋体" w:hAnsi="宋体" w:eastAsia="宋体" w:cs="宋体"/>
          <w:b/>
          <w:color w:val="auto"/>
          <w:sz w:val="21"/>
          <w:szCs w:val="21"/>
          <w:lang w:eastAsia="zh-CN"/>
        </w:rPr>
        <w:t>七、报价要求</w:t>
      </w:r>
    </w:p>
    <w:p w14:paraId="43F8ECC8">
      <w:pPr>
        <w:pStyle w:val="62"/>
        <w:numPr>
          <w:ilvl w:val="0"/>
          <w:numId w:val="10"/>
        </w:numPr>
        <w:snapToGrid w:val="0"/>
        <w:spacing w:line="360" w:lineRule="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总报价不得超出本项目最高限价为￥</w:t>
      </w:r>
      <w:r>
        <w:rPr>
          <w:rFonts w:hint="eastAsia" w:ascii="宋体" w:hAnsi="宋体" w:cs="宋体"/>
          <w:color w:val="000000"/>
          <w:kern w:val="0"/>
          <w:sz w:val="21"/>
          <w:szCs w:val="21"/>
          <w:highlight w:val="none"/>
          <w:shd w:val="clear" w:color="auto" w:fill="FFFFFF"/>
          <w:lang w:val="en-US" w:eastAsia="zh-CN"/>
        </w:rPr>
        <w:t>809,710,71</w:t>
      </w:r>
      <w:r>
        <w:rPr>
          <w:rFonts w:hint="eastAsia" w:ascii="宋体" w:hAnsi="宋体" w:eastAsia="宋体" w:cs="宋体"/>
          <w:b w:val="0"/>
          <w:bCs/>
          <w:color w:val="auto"/>
          <w:sz w:val="21"/>
          <w:szCs w:val="21"/>
          <w:lang w:val="en-US" w:eastAsia="zh-CN"/>
        </w:rPr>
        <w:t>元，否则视为无效报价。</w:t>
      </w:r>
    </w:p>
    <w:p w14:paraId="54BD320E">
      <w:pPr>
        <w:pStyle w:val="62"/>
        <w:numPr>
          <w:ilvl w:val="0"/>
          <w:numId w:val="10"/>
        </w:numPr>
        <w:snapToGrid w:val="0"/>
        <w:spacing w:line="360" w:lineRule="auto"/>
        <w:ind w:left="0" w:leftChars="0" w:firstLine="0" w:firstLineChars="0"/>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绿色施工安全防护措施费</w:t>
      </w:r>
      <w:r>
        <w:rPr>
          <w:rFonts w:hint="eastAsia" w:ascii="宋体" w:hAnsi="宋体" w:eastAsia="宋体" w:cs="宋体"/>
          <w:b w:val="0"/>
          <w:bCs/>
          <w:color w:val="auto"/>
          <w:sz w:val="21"/>
          <w:szCs w:val="21"/>
          <w:highlight w:val="none"/>
          <w:lang w:val="en-US" w:eastAsia="zh-CN"/>
        </w:rPr>
        <w:t>为</w:t>
      </w:r>
      <w:r>
        <w:rPr>
          <w:rFonts w:hint="eastAsia" w:ascii="宋体" w:hAnsi="宋体" w:cs="宋体"/>
          <w:color w:val="000000"/>
          <w:kern w:val="0"/>
          <w:sz w:val="21"/>
          <w:szCs w:val="21"/>
          <w:highlight w:val="none"/>
          <w:shd w:val="clear" w:color="auto" w:fill="FFFFFF"/>
          <w:lang w:val="en-US" w:eastAsia="zh-CN"/>
        </w:rPr>
        <w:t>24,240.65</w:t>
      </w:r>
      <w:r>
        <w:rPr>
          <w:rFonts w:hint="eastAsia" w:ascii="宋体" w:hAnsi="宋体" w:eastAsia="宋体" w:cs="宋体"/>
          <w:b w:val="0"/>
          <w:bCs/>
          <w:color w:val="auto"/>
          <w:sz w:val="21"/>
          <w:szCs w:val="21"/>
          <w:highlight w:val="none"/>
          <w:lang w:val="en-US" w:eastAsia="zh-CN"/>
        </w:rPr>
        <w:t>元，不列入竞价范围</w:t>
      </w:r>
      <w:r>
        <w:rPr>
          <w:rFonts w:hint="eastAsia" w:ascii="宋体" w:hAnsi="宋体" w:eastAsia="宋体" w:cs="宋体"/>
          <w:b w:val="0"/>
          <w:bCs/>
          <w:color w:val="auto"/>
          <w:sz w:val="21"/>
          <w:szCs w:val="21"/>
          <w:lang w:val="en-US" w:eastAsia="zh-CN"/>
        </w:rPr>
        <w:t>。</w:t>
      </w:r>
    </w:p>
    <w:p w14:paraId="1623BE66">
      <w:pPr>
        <w:pStyle w:val="62"/>
        <w:numPr>
          <w:ilvl w:val="0"/>
          <w:numId w:val="10"/>
        </w:numPr>
        <w:snapToGrid w:val="0"/>
        <w:spacing w:line="360" w:lineRule="auto"/>
        <w:ind w:left="0" w:leftChars="0" w:firstLine="0" w:firstLineChars="0"/>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报价包括完成本项目全部内容所需费用的含税价，且符合国家有关的价格规定（如有）。</w:t>
      </w:r>
    </w:p>
    <w:bookmarkEnd w:id="91"/>
    <w:bookmarkEnd w:id="92"/>
    <w:bookmarkEnd w:id="93"/>
    <w:bookmarkEnd w:id="94"/>
    <w:bookmarkEnd w:id="95"/>
    <w:bookmarkEnd w:id="96"/>
    <w:bookmarkEnd w:id="97"/>
    <w:bookmarkEnd w:id="98"/>
    <w:bookmarkEnd w:id="99"/>
    <w:p w14:paraId="6412C4A2">
      <w:pPr>
        <w:pStyle w:val="62"/>
        <w:numPr>
          <w:ilvl w:val="0"/>
          <w:numId w:val="10"/>
        </w:numPr>
        <w:snapToGrid w:val="0"/>
        <w:spacing w:line="360" w:lineRule="auto"/>
        <w:rPr>
          <w:rFonts w:hint="default" w:ascii="宋体" w:hAnsi="宋体" w:eastAsia="宋体" w:cs="宋体"/>
          <w:bCs/>
          <w:color w:val="auto"/>
          <w:sz w:val="21"/>
          <w:szCs w:val="21"/>
        </w:rPr>
      </w:pPr>
      <w:r>
        <w:rPr>
          <w:rFonts w:ascii="宋体" w:hAnsi="宋体" w:eastAsia="宋体" w:cs="宋体"/>
          <w:bCs/>
          <w:color w:val="auto"/>
          <w:sz w:val="21"/>
          <w:szCs w:val="21"/>
        </w:rPr>
        <w:t xml:space="preserve"> 报价下浮率=（</w:t>
      </w:r>
      <w:r>
        <w:rPr>
          <w:rFonts w:hint="eastAsia" w:ascii="宋体" w:hAnsi="宋体" w:eastAsia="宋体" w:cs="宋体"/>
          <w:bCs/>
          <w:color w:val="auto"/>
          <w:sz w:val="21"/>
          <w:szCs w:val="21"/>
          <w:lang w:eastAsia="zh-CN"/>
        </w:rPr>
        <w:t>最高限价</w:t>
      </w:r>
      <w:r>
        <w:rPr>
          <w:rFonts w:ascii="宋体" w:hAnsi="宋体" w:eastAsia="宋体" w:cs="宋体"/>
          <w:bCs/>
          <w:color w:val="auto"/>
          <w:sz w:val="21"/>
          <w:szCs w:val="21"/>
        </w:rPr>
        <w:t>-投标总报价）/（</w:t>
      </w:r>
      <w:r>
        <w:rPr>
          <w:rFonts w:hint="eastAsia" w:ascii="宋体" w:hAnsi="宋体" w:eastAsia="宋体" w:cs="宋体"/>
          <w:bCs/>
          <w:color w:val="auto"/>
          <w:sz w:val="21"/>
          <w:szCs w:val="21"/>
          <w:lang w:eastAsia="zh-CN"/>
        </w:rPr>
        <w:t>最高限价</w:t>
      </w:r>
      <w:r>
        <w:rPr>
          <w:rFonts w:ascii="宋体" w:hAnsi="宋体" w:eastAsia="宋体" w:cs="宋体"/>
          <w:bCs/>
          <w:color w:val="auto"/>
          <w:sz w:val="21"/>
          <w:szCs w:val="21"/>
        </w:rPr>
        <w:t>-绿色施工安全防护措施费）*100%</w:t>
      </w:r>
    </w:p>
    <w:bookmarkEnd w:id="84"/>
    <w:bookmarkEnd w:id="85"/>
    <w:bookmarkEnd w:id="86"/>
    <w:bookmarkEnd w:id="87"/>
    <w:p w14:paraId="6F9C9016">
      <w:pPr>
        <w:pStyle w:val="37"/>
        <w:ind w:firstLine="420"/>
        <w:rPr>
          <w:szCs w:val="32"/>
          <w:highlight w:val="none"/>
        </w:rPr>
      </w:pPr>
      <w:bookmarkStart w:id="100" w:name="_Toc68598551"/>
      <w:bookmarkStart w:id="101" w:name="_Toc13439"/>
      <w:bookmarkStart w:id="102" w:name="_Toc44236272"/>
      <w:bookmarkStart w:id="103" w:name="_Toc44235682"/>
      <w:bookmarkStart w:id="104" w:name="_Toc44236081"/>
      <w:bookmarkStart w:id="105" w:name="_Toc338335290"/>
      <w:bookmarkStart w:id="106" w:name="_Toc238274998"/>
      <w:bookmarkStart w:id="107" w:name="_Toc338335186"/>
      <w:bookmarkStart w:id="108" w:name="_Toc338335355"/>
      <w:bookmarkStart w:id="109" w:name="_Toc338335512"/>
    </w:p>
    <w:p w14:paraId="33DA63A6">
      <w:pPr>
        <w:pStyle w:val="37"/>
        <w:ind w:firstLine="420"/>
        <w:rPr>
          <w:szCs w:val="32"/>
          <w:highlight w:val="none"/>
        </w:rPr>
      </w:pPr>
    </w:p>
    <w:p w14:paraId="522DD8D7">
      <w:pPr>
        <w:pStyle w:val="37"/>
        <w:ind w:firstLine="420"/>
        <w:rPr>
          <w:szCs w:val="32"/>
          <w:highlight w:val="none"/>
        </w:rPr>
      </w:pPr>
    </w:p>
    <w:p w14:paraId="64AE58C7">
      <w:pPr>
        <w:pStyle w:val="37"/>
        <w:ind w:firstLine="420"/>
        <w:rPr>
          <w:szCs w:val="32"/>
          <w:highlight w:val="none"/>
        </w:rPr>
      </w:pPr>
    </w:p>
    <w:p w14:paraId="00D5ECA7">
      <w:pPr>
        <w:pStyle w:val="37"/>
        <w:ind w:firstLine="420"/>
        <w:rPr>
          <w:szCs w:val="32"/>
          <w:highlight w:val="none"/>
        </w:rPr>
      </w:pPr>
    </w:p>
    <w:p w14:paraId="7FC7FADA">
      <w:pPr>
        <w:pStyle w:val="37"/>
        <w:ind w:firstLine="420"/>
        <w:rPr>
          <w:szCs w:val="32"/>
          <w:highlight w:val="none"/>
        </w:rPr>
      </w:pPr>
    </w:p>
    <w:p w14:paraId="6B1F2129">
      <w:pPr>
        <w:pStyle w:val="3"/>
        <w:jc w:val="center"/>
        <w:rPr>
          <w:szCs w:val="32"/>
          <w:highlight w:val="none"/>
        </w:rPr>
      </w:pPr>
      <w:r>
        <w:rPr>
          <w:rFonts w:hint="eastAsia"/>
          <w:szCs w:val="32"/>
          <w:highlight w:val="none"/>
        </w:rPr>
        <w:t>第三章  工程量清单</w:t>
      </w:r>
      <w:bookmarkEnd w:id="100"/>
      <w:bookmarkEnd w:id="101"/>
      <w:bookmarkEnd w:id="102"/>
      <w:bookmarkEnd w:id="103"/>
      <w:bookmarkEnd w:id="104"/>
    </w:p>
    <w:p w14:paraId="40B21FED">
      <w:pPr>
        <w:rPr>
          <w:highlight w:val="none"/>
        </w:rPr>
      </w:pPr>
    </w:p>
    <w:p w14:paraId="7DA14C88">
      <w:pPr>
        <w:rPr>
          <w:highlight w:val="none"/>
        </w:rPr>
      </w:pPr>
      <w:bookmarkStart w:id="110" w:name="_Toc467509331"/>
      <w:bookmarkStart w:id="111" w:name="_Toc31889"/>
      <w:r>
        <w:rPr>
          <w:rFonts w:hint="eastAsia"/>
          <w:highlight w:val="none"/>
        </w:rPr>
        <w:t>工程量清单说明</w:t>
      </w:r>
      <w:bookmarkEnd w:id="110"/>
      <w:bookmarkEnd w:id="111"/>
    </w:p>
    <w:p w14:paraId="0BC63A2A">
      <w:pPr>
        <w:spacing w:line="360" w:lineRule="auto"/>
        <w:ind w:firstLine="420" w:firstLineChars="200"/>
        <w:jc w:val="left"/>
        <w:rPr>
          <w:rFonts w:ascii="宋体" w:hAnsi="宋体"/>
          <w:highlight w:val="none"/>
        </w:rPr>
      </w:pPr>
      <w:r>
        <w:rPr>
          <w:rFonts w:ascii="宋体" w:hAnsi="宋体"/>
          <w:bCs/>
          <w:highlight w:val="none"/>
        </w:rPr>
        <w:t>1</w:t>
      </w:r>
      <w:r>
        <w:rPr>
          <w:rFonts w:hint="eastAsia" w:ascii="宋体" w:hAnsi="宋体"/>
          <w:bCs/>
          <w:highlight w:val="none"/>
        </w:rPr>
        <w:t>、</w:t>
      </w:r>
      <w:r>
        <w:rPr>
          <w:rFonts w:hint="eastAsia" w:ascii="宋体" w:hAnsi="宋体"/>
          <w:szCs w:val="21"/>
          <w:highlight w:val="none"/>
        </w:rPr>
        <w:t>本工程的工程量清</w:t>
      </w:r>
      <w:r>
        <w:rPr>
          <w:rFonts w:ascii="宋体" w:hAnsi="宋体"/>
          <w:szCs w:val="21"/>
          <w:highlight w:val="none"/>
        </w:rPr>
        <w:t>单另册装订</w:t>
      </w:r>
      <w:r>
        <w:rPr>
          <w:rFonts w:hint="eastAsia" w:ascii="宋体" w:hAnsi="宋体"/>
          <w:szCs w:val="21"/>
          <w:highlight w:val="none"/>
        </w:rPr>
        <w:t>，其</w:t>
      </w:r>
      <w:r>
        <w:rPr>
          <w:rFonts w:ascii="宋体" w:hAnsi="宋体"/>
          <w:szCs w:val="21"/>
          <w:highlight w:val="none"/>
        </w:rPr>
        <w:t>内</w:t>
      </w:r>
      <w:r>
        <w:rPr>
          <w:rFonts w:hint="eastAsia" w:ascii="宋体" w:hAnsi="宋体"/>
          <w:szCs w:val="21"/>
          <w:highlight w:val="none"/>
        </w:rPr>
        <w:t>容包括：建</w:t>
      </w:r>
      <w:r>
        <w:rPr>
          <w:rFonts w:ascii="宋体" w:hAnsi="宋体"/>
          <w:szCs w:val="21"/>
          <w:highlight w:val="none"/>
        </w:rPr>
        <w:t>设工</w:t>
      </w:r>
      <w:r>
        <w:rPr>
          <w:rFonts w:hint="eastAsia" w:ascii="宋体" w:hAnsi="宋体"/>
          <w:szCs w:val="21"/>
          <w:highlight w:val="none"/>
        </w:rPr>
        <w:t>程</w:t>
      </w:r>
      <w:r>
        <w:rPr>
          <w:rFonts w:ascii="宋体" w:hAnsi="宋体"/>
          <w:szCs w:val="21"/>
          <w:highlight w:val="none"/>
        </w:rPr>
        <w:t>项</w:t>
      </w:r>
      <w:r>
        <w:rPr>
          <w:rFonts w:hint="eastAsia" w:ascii="宋体" w:hAnsi="宋体"/>
          <w:szCs w:val="21"/>
          <w:highlight w:val="none"/>
        </w:rPr>
        <w:t>目工程量清</w:t>
      </w:r>
      <w:r>
        <w:rPr>
          <w:rFonts w:ascii="宋体" w:hAnsi="宋体"/>
          <w:szCs w:val="21"/>
          <w:highlight w:val="none"/>
        </w:rPr>
        <w:t>单报价</w:t>
      </w:r>
      <w:r>
        <w:rPr>
          <w:rFonts w:hint="eastAsia" w:ascii="宋体" w:hAnsi="宋体"/>
          <w:szCs w:val="21"/>
          <w:highlight w:val="none"/>
        </w:rPr>
        <w:t>表</w:t>
      </w:r>
      <w:r>
        <w:rPr>
          <w:rFonts w:ascii="宋体" w:hAnsi="宋体"/>
          <w:szCs w:val="21"/>
          <w:highlight w:val="none"/>
        </w:rPr>
        <w:t>1</w:t>
      </w:r>
      <w:r>
        <w:rPr>
          <w:rFonts w:hint="eastAsia" w:ascii="宋体" w:hAnsi="宋体"/>
          <w:szCs w:val="21"/>
          <w:highlight w:val="none"/>
        </w:rPr>
        <w:t>份，</w:t>
      </w:r>
      <w:r>
        <w:rPr>
          <w:rFonts w:ascii="宋体" w:hAnsi="宋体"/>
          <w:szCs w:val="21"/>
          <w:highlight w:val="none"/>
        </w:rPr>
        <w:t>由</w:t>
      </w:r>
      <w:r>
        <w:rPr>
          <w:rFonts w:hint="eastAsia" w:ascii="宋体" w:hAnsi="宋体"/>
          <w:color w:val="000000"/>
          <w:szCs w:val="21"/>
          <w:highlight w:val="none"/>
          <w:lang w:eastAsia="zh-CN"/>
        </w:rPr>
        <w:t>国建数智工程技术（深圳）有限公司</w:t>
      </w:r>
      <w:r>
        <w:rPr>
          <w:rFonts w:ascii="宋体" w:hAnsi="宋体"/>
          <w:szCs w:val="21"/>
          <w:highlight w:val="none"/>
        </w:rPr>
        <w:t>编</w:t>
      </w:r>
      <w:r>
        <w:rPr>
          <w:rFonts w:hint="eastAsia" w:ascii="宋体" w:hAnsi="宋体"/>
          <w:szCs w:val="21"/>
          <w:highlight w:val="none"/>
        </w:rPr>
        <w:t>制的工程量清</w:t>
      </w:r>
      <w:r>
        <w:rPr>
          <w:rFonts w:ascii="宋体" w:hAnsi="宋体"/>
          <w:szCs w:val="21"/>
          <w:highlight w:val="none"/>
        </w:rPr>
        <w:t>单综</w:t>
      </w:r>
      <w:r>
        <w:rPr>
          <w:rFonts w:hint="eastAsia" w:ascii="宋体" w:hAnsi="宋体"/>
          <w:szCs w:val="21"/>
          <w:highlight w:val="none"/>
        </w:rPr>
        <w:t>合</w:t>
      </w:r>
      <w:r>
        <w:rPr>
          <w:rFonts w:ascii="宋体" w:hAnsi="宋体"/>
          <w:szCs w:val="21"/>
          <w:highlight w:val="none"/>
        </w:rPr>
        <w:t>单价报价</w:t>
      </w:r>
      <w:r>
        <w:rPr>
          <w:rFonts w:hint="eastAsia" w:ascii="宋体" w:hAnsi="宋体"/>
          <w:szCs w:val="21"/>
          <w:highlight w:val="none"/>
        </w:rPr>
        <w:t>表</w:t>
      </w:r>
      <w:r>
        <w:rPr>
          <w:rFonts w:ascii="宋体" w:hAnsi="宋体"/>
          <w:szCs w:val="21"/>
          <w:highlight w:val="none"/>
        </w:rPr>
        <w:t>1</w:t>
      </w:r>
      <w:r>
        <w:rPr>
          <w:rFonts w:hint="eastAsia" w:ascii="宋体" w:hAnsi="宋体"/>
          <w:szCs w:val="21"/>
          <w:highlight w:val="none"/>
        </w:rPr>
        <w:t>份，</w:t>
      </w:r>
      <w:r>
        <w:rPr>
          <w:rFonts w:ascii="宋体" w:hAnsi="宋体"/>
          <w:szCs w:val="21"/>
          <w:highlight w:val="none"/>
        </w:rPr>
        <w:t>详见招标</w:t>
      </w:r>
      <w:r>
        <w:rPr>
          <w:rFonts w:hint="eastAsia" w:ascii="宋体" w:hAnsi="宋体"/>
          <w:szCs w:val="21"/>
          <w:highlight w:val="none"/>
        </w:rPr>
        <w:t>人</w:t>
      </w:r>
      <w:r>
        <w:rPr>
          <w:rFonts w:ascii="宋体" w:hAnsi="宋体"/>
          <w:szCs w:val="21"/>
          <w:highlight w:val="none"/>
        </w:rPr>
        <w:t>发</w:t>
      </w:r>
      <w:r>
        <w:rPr>
          <w:rFonts w:hint="eastAsia" w:ascii="宋体" w:hAnsi="宋体"/>
          <w:szCs w:val="21"/>
          <w:highlight w:val="none"/>
        </w:rPr>
        <w:t>出的工程量清</w:t>
      </w:r>
      <w:r>
        <w:rPr>
          <w:rFonts w:ascii="宋体" w:hAnsi="宋体"/>
          <w:szCs w:val="21"/>
          <w:highlight w:val="none"/>
        </w:rPr>
        <w:t>单</w:t>
      </w:r>
      <w:r>
        <w:rPr>
          <w:rFonts w:hint="eastAsia" w:ascii="宋体" w:hAnsi="宋体"/>
          <w:highlight w:val="none"/>
        </w:rPr>
        <w:t>。</w:t>
      </w:r>
    </w:p>
    <w:p w14:paraId="098DA13C">
      <w:pPr>
        <w:spacing w:line="360" w:lineRule="auto"/>
        <w:ind w:firstLine="420" w:firstLineChars="200"/>
        <w:jc w:val="left"/>
        <w:rPr>
          <w:rFonts w:ascii="宋体" w:hAnsi="宋体"/>
          <w:szCs w:val="21"/>
          <w:highlight w:val="none"/>
        </w:rPr>
      </w:pPr>
      <w:r>
        <w:rPr>
          <w:rFonts w:ascii="宋体" w:hAnsi="宋体"/>
          <w:highlight w:val="none"/>
        </w:rPr>
        <w:t>2</w:t>
      </w:r>
      <w:r>
        <w:rPr>
          <w:rFonts w:hint="eastAsia" w:ascii="宋体" w:hAnsi="宋体"/>
          <w:highlight w:val="none"/>
        </w:rPr>
        <w:t>、</w:t>
      </w:r>
      <w:r>
        <w:rPr>
          <w:rFonts w:hint="eastAsia" w:ascii="宋体" w:hAnsi="宋体"/>
          <w:spacing w:val="6"/>
          <w:szCs w:val="21"/>
          <w:highlight w:val="none"/>
        </w:rPr>
        <w:t>投</w:t>
      </w:r>
      <w:r>
        <w:rPr>
          <w:rFonts w:ascii="宋体" w:hAnsi="宋体"/>
          <w:spacing w:val="6"/>
          <w:szCs w:val="21"/>
          <w:highlight w:val="none"/>
        </w:rPr>
        <w:t>标</w:t>
      </w:r>
      <w:r>
        <w:rPr>
          <w:rFonts w:hint="eastAsia" w:ascii="宋体" w:hAnsi="宋体"/>
          <w:spacing w:val="6"/>
          <w:szCs w:val="21"/>
          <w:highlight w:val="none"/>
        </w:rPr>
        <w:t>文件中的</w:t>
      </w:r>
      <w:r>
        <w:rPr>
          <w:rFonts w:hint="eastAsia" w:ascii="宋体" w:hAnsi="宋体"/>
          <w:szCs w:val="21"/>
          <w:highlight w:val="none"/>
        </w:rPr>
        <w:t>工程量清</w:t>
      </w:r>
      <w:r>
        <w:rPr>
          <w:rFonts w:ascii="宋体" w:hAnsi="宋体"/>
          <w:szCs w:val="21"/>
          <w:highlight w:val="none"/>
        </w:rPr>
        <w:t>单</w:t>
      </w:r>
      <w:r>
        <w:rPr>
          <w:rFonts w:hint="eastAsia" w:ascii="宋体" w:hAnsi="宋体"/>
          <w:spacing w:val="6"/>
          <w:szCs w:val="21"/>
          <w:highlight w:val="none"/>
        </w:rPr>
        <w:t>必</w:t>
      </w:r>
      <w:r>
        <w:rPr>
          <w:rFonts w:ascii="宋体" w:hAnsi="宋体"/>
          <w:spacing w:val="6"/>
          <w:szCs w:val="21"/>
          <w:highlight w:val="none"/>
        </w:rPr>
        <w:t>须</w:t>
      </w:r>
      <w:r>
        <w:rPr>
          <w:rFonts w:hint="eastAsia" w:ascii="宋体" w:hAnsi="宋体"/>
          <w:spacing w:val="6"/>
          <w:szCs w:val="21"/>
          <w:highlight w:val="none"/>
        </w:rPr>
        <w:t>使用招</w:t>
      </w:r>
      <w:r>
        <w:rPr>
          <w:rFonts w:ascii="宋体" w:hAnsi="宋体"/>
          <w:spacing w:val="6"/>
          <w:szCs w:val="21"/>
          <w:highlight w:val="none"/>
        </w:rPr>
        <w:t>标</w:t>
      </w:r>
      <w:r>
        <w:rPr>
          <w:rFonts w:hint="eastAsia" w:ascii="宋体" w:hAnsi="宋体"/>
          <w:spacing w:val="6"/>
          <w:szCs w:val="21"/>
          <w:highlight w:val="none"/>
        </w:rPr>
        <w:t>人</w:t>
      </w:r>
      <w:r>
        <w:rPr>
          <w:rFonts w:ascii="宋体" w:hAnsi="宋体"/>
          <w:spacing w:val="6"/>
          <w:szCs w:val="21"/>
          <w:highlight w:val="none"/>
        </w:rPr>
        <w:t>发</w:t>
      </w:r>
      <w:r>
        <w:rPr>
          <w:rFonts w:hint="eastAsia" w:ascii="宋体" w:hAnsi="宋体"/>
          <w:spacing w:val="6"/>
          <w:szCs w:val="21"/>
          <w:highlight w:val="none"/>
        </w:rPr>
        <w:t>出的</w:t>
      </w:r>
      <w:r>
        <w:rPr>
          <w:rFonts w:hint="eastAsia" w:ascii="宋体" w:hAnsi="宋体"/>
          <w:szCs w:val="21"/>
          <w:highlight w:val="none"/>
        </w:rPr>
        <w:t>工程量清</w:t>
      </w:r>
      <w:r>
        <w:rPr>
          <w:rFonts w:ascii="宋体" w:hAnsi="宋体"/>
          <w:szCs w:val="21"/>
          <w:highlight w:val="none"/>
        </w:rPr>
        <w:t>单</w:t>
      </w:r>
      <w:r>
        <w:rPr>
          <w:rFonts w:hint="eastAsia" w:ascii="宋体" w:hAnsi="宋体"/>
          <w:szCs w:val="21"/>
          <w:highlight w:val="none"/>
        </w:rPr>
        <w:t>。在招</w:t>
      </w:r>
      <w:r>
        <w:rPr>
          <w:rFonts w:ascii="宋体" w:hAnsi="宋体"/>
          <w:szCs w:val="21"/>
          <w:highlight w:val="none"/>
        </w:rPr>
        <w:t>标</w:t>
      </w:r>
      <w:r>
        <w:rPr>
          <w:rFonts w:hint="eastAsia" w:ascii="宋体" w:hAnsi="宋体"/>
          <w:szCs w:val="21"/>
          <w:highlight w:val="none"/>
        </w:rPr>
        <w:t>人</w:t>
      </w:r>
      <w:r>
        <w:rPr>
          <w:rFonts w:ascii="宋体" w:hAnsi="宋体"/>
          <w:szCs w:val="21"/>
          <w:highlight w:val="none"/>
        </w:rPr>
        <w:t>发</w:t>
      </w:r>
      <w:r>
        <w:rPr>
          <w:rFonts w:hint="eastAsia" w:ascii="宋体" w:hAnsi="宋体"/>
          <w:szCs w:val="21"/>
          <w:highlight w:val="none"/>
        </w:rPr>
        <w:t>出的原件上填</w:t>
      </w:r>
      <w:r>
        <w:rPr>
          <w:rFonts w:ascii="宋体" w:hAnsi="宋体"/>
          <w:szCs w:val="21"/>
          <w:highlight w:val="none"/>
        </w:rPr>
        <w:t>报报价等内</w:t>
      </w:r>
      <w:r>
        <w:rPr>
          <w:rFonts w:hint="eastAsia" w:ascii="宋体" w:hAnsi="宋体"/>
          <w:szCs w:val="21"/>
          <w:highlight w:val="none"/>
        </w:rPr>
        <w:t>容。</w:t>
      </w:r>
      <w:r>
        <w:rPr>
          <w:rFonts w:hint="eastAsia" w:ascii="宋体" w:hAnsi="宋体"/>
          <w:spacing w:val="6"/>
          <w:szCs w:val="21"/>
          <w:highlight w:val="none"/>
        </w:rPr>
        <w:t>所</w:t>
      </w:r>
      <w:r>
        <w:rPr>
          <w:rFonts w:hint="eastAsia" w:ascii="宋体" w:hAnsi="宋体"/>
          <w:szCs w:val="21"/>
          <w:highlight w:val="none"/>
        </w:rPr>
        <w:t>填</w:t>
      </w:r>
      <w:r>
        <w:rPr>
          <w:rFonts w:ascii="宋体" w:hAnsi="宋体"/>
          <w:szCs w:val="21"/>
          <w:highlight w:val="none"/>
        </w:rPr>
        <w:t>报</w:t>
      </w:r>
      <w:r>
        <w:rPr>
          <w:rFonts w:hint="eastAsia" w:ascii="宋体" w:hAnsi="宋体"/>
          <w:szCs w:val="21"/>
          <w:highlight w:val="none"/>
        </w:rPr>
        <w:t>的</w:t>
      </w:r>
      <w:r>
        <w:rPr>
          <w:rFonts w:ascii="宋体" w:hAnsi="宋体"/>
          <w:szCs w:val="21"/>
          <w:highlight w:val="none"/>
        </w:rPr>
        <w:t>报价等内</w:t>
      </w:r>
      <w:r>
        <w:rPr>
          <w:rFonts w:hint="eastAsia" w:ascii="宋体" w:hAnsi="宋体"/>
          <w:szCs w:val="21"/>
          <w:highlight w:val="none"/>
        </w:rPr>
        <w:t>容允许</w:t>
      </w:r>
      <w:r>
        <w:rPr>
          <w:rFonts w:ascii="宋体" w:hAnsi="宋体"/>
          <w:szCs w:val="21"/>
          <w:highlight w:val="none"/>
        </w:rPr>
        <w:t>手写</w:t>
      </w:r>
      <w:r>
        <w:rPr>
          <w:rFonts w:hint="eastAsia" w:ascii="宋体" w:hAnsi="宋体"/>
          <w:szCs w:val="21"/>
          <w:highlight w:val="none"/>
        </w:rPr>
        <w:t>或者电脑打印，</w:t>
      </w:r>
      <w:r>
        <w:rPr>
          <w:rFonts w:hint="eastAsia" w:ascii="宋体" w:hAnsi="宋体"/>
          <w:spacing w:val="6"/>
          <w:szCs w:val="21"/>
          <w:highlight w:val="none"/>
        </w:rPr>
        <w:t>填</w:t>
      </w:r>
      <w:r>
        <w:rPr>
          <w:rFonts w:ascii="宋体" w:hAnsi="宋体"/>
          <w:spacing w:val="6"/>
          <w:szCs w:val="21"/>
          <w:highlight w:val="none"/>
        </w:rPr>
        <w:t>报内</w:t>
      </w:r>
      <w:r>
        <w:rPr>
          <w:rFonts w:hint="eastAsia" w:ascii="宋体" w:hAnsi="宋体"/>
          <w:spacing w:val="6"/>
          <w:szCs w:val="21"/>
          <w:highlight w:val="none"/>
        </w:rPr>
        <w:t>容如出</w:t>
      </w:r>
      <w:r>
        <w:rPr>
          <w:rFonts w:ascii="宋体" w:hAnsi="宋体"/>
          <w:spacing w:val="6"/>
          <w:szCs w:val="21"/>
          <w:highlight w:val="none"/>
        </w:rPr>
        <w:t>现</w:t>
      </w:r>
      <w:r>
        <w:rPr>
          <w:rFonts w:hint="eastAsia" w:ascii="宋体" w:hAnsi="宋体"/>
          <w:spacing w:val="6"/>
          <w:szCs w:val="21"/>
          <w:highlight w:val="none"/>
        </w:rPr>
        <w:t>涂改、</w:t>
      </w:r>
      <w:r>
        <w:rPr>
          <w:rFonts w:ascii="宋体" w:hAnsi="宋体"/>
          <w:spacing w:val="6"/>
          <w:szCs w:val="21"/>
          <w:highlight w:val="none"/>
        </w:rPr>
        <w:t>删</w:t>
      </w:r>
      <w:r>
        <w:rPr>
          <w:rFonts w:hint="eastAsia" w:ascii="宋体" w:hAnsi="宋体"/>
          <w:spacing w:val="6"/>
          <w:szCs w:val="21"/>
          <w:highlight w:val="none"/>
        </w:rPr>
        <w:t>除或修改，必</w:t>
      </w:r>
      <w:r>
        <w:rPr>
          <w:rFonts w:ascii="宋体" w:hAnsi="宋体"/>
          <w:spacing w:val="6"/>
          <w:szCs w:val="21"/>
          <w:highlight w:val="none"/>
        </w:rPr>
        <w:t>须在</w:t>
      </w:r>
      <w:r>
        <w:rPr>
          <w:rFonts w:hint="eastAsia" w:ascii="宋体" w:hAnsi="宋体"/>
          <w:spacing w:val="6"/>
          <w:szCs w:val="21"/>
          <w:highlight w:val="none"/>
        </w:rPr>
        <w:t>改</w:t>
      </w:r>
      <w:r>
        <w:rPr>
          <w:rFonts w:ascii="宋体" w:hAnsi="宋体"/>
          <w:spacing w:val="6"/>
          <w:szCs w:val="21"/>
          <w:highlight w:val="none"/>
        </w:rPr>
        <w:t>动处</w:t>
      </w:r>
      <w:r>
        <w:rPr>
          <w:rFonts w:hint="eastAsia" w:ascii="宋体" w:hAnsi="宋体"/>
          <w:spacing w:val="6"/>
          <w:szCs w:val="21"/>
          <w:highlight w:val="none"/>
        </w:rPr>
        <w:t>加</w:t>
      </w:r>
      <w:r>
        <w:rPr>
          <w:rFonts w:ascii="宋体" w:hAnsi="宋体"/>
          <w:spacing w:val="6"/>
          <w:szCs w:val="21"/>
          <w:highlight w:val="none"/>
        </w:rPr>
        <w:t>盖</w:t>
      </w:r>
      <w:r>
        <w:rPr>
          <w:rFonts w:hint="eastAsia" w:ascii="宋体" w:hAnsi="宋体"/>
          <w:spacing w:val="6"/>
          <w:szCs w:val="21"/>
          <w:highlight w:val="none"/>
        </w:rPr>
        <w:t>投</w:t>
      </w:r>
      <w:r>
        <w:rPr>
          <w:rFonts w:ascii="宋体" w:hAnsi="宋体"/>
          <w:spacing w:val="6"/>
          <w:szCs w:val="21"/>
          <w:highlight w:val="none"/>
        </w:rPr>
        <w:t>标</w:t>
      </w:r>
      <w:r>
        <w:rPr>
          <w:rFonts w:hint="eastAsia" w:ascii="宋体" w:hAnsi="宋体"/>
          <w:spacing w:val="6"/>
          <w:szCs w:val="21"/>
          <w:highlight w:val="none"/>
        </w:rPr>
        <w:t>人</w:t>
      </w:r>
      <w:r>
        <w:rPr>
          <w:rFonts w:hint="eastAsia" w:ascii="宋体" w:hAnsi="宋体"/>
          <w:szCs w:val="21"/>
          <w:highlight w:val="none"/>
        </w:rPr>
        <w:t>的公司</w:t>
      </w:r>
      <w:r>
        <w:rPr>
          <w:rFonts w:hint="eastAsia" w:ascii="宋体" w:hAnsi="宋体"/>
          <w:spacing w:val="6"/>
          <w:szCs w:val="21"/>
          <w:highlight w:val="none"/>
        </w:rPr>
        <w:t>法人公章</w:t>
      </w:r>
      <w:r>
        <w:rPr>
          <w:rFonts w:hint="eastAsia" w:ascii="宋体" w:hAnsi="宋体"/>
          <w:szCs w:val="21"/>
          <w:highlight w:val="none"/>
        </w:rPr>
        <w:t>。</w:t>
      </w:r>
    </w:p>
    <w:p w14:paraId="5A2F8C7B">
      <w:pPr>
        <w:spacing w:line="360" w:lineRule="auto"/>
        <w:ind w:firstLine="420" w:firstLineChars="200"/>
        <w:jc w:val="left"/>
        <w:rPr>
          <w:rFonts w:ascii="宋体" w:hAnsi="宋体"/>
          <w:spacing w:val="6"/>
          <w:szCs w:val="21"/>
          <w:highlight w:val="none"/>
        </w:rPr>
      </w:pPr>
      <w:r>
        <w:rPr>
          <w:rFonts w:ascii="宋体" w:hAnsi="宋体"/>
          <w:szCs w:val="21"/>
          <w:highlight w:val="none"/>
        </w:rPr>
        <w:t>3</w:t>
      </w:r>
      <w:r>
        <w:rPr>
          <w:rFonts w:hint="eastAsia" w:ascii="宋体" w:hAnsi="宋体"/>
          <w:szCs w:val="21"/>
          <w:highlight w:val="none"/>
        </w:rPr>
        <w:t>、工程量清</w:t>
      </w:r>
      <w:r>
        <w:rPr>
          <w:rFonts w:ascii="宋体" w:hAnsi="宋体"/>
          <w:szCs w:val="21"/>
          <w:highlight w:val="none"/>
        </w:rPr>
        <w:t>单综</w:t>
      </w:r>
      <w:r>
        <w:rPr>
          <w:rFonts w:hint="eastAsia" w:ascii="宋体" w:hAnsi="宋体"/>
          <w:szCs w:val="21"/>
          <w:highlight w:val="none"/>
        </w:rPr>
        <w:t>合</w:t>
      </w:r>
      <w:r>
        <w:rPr>
          <w:rFonts w:ascii="宋体" w:hAnsi="宋体"/>
          <w:szCs w:val="21"/>
          <w:highlight w:val="none"/>
        </w:rPr>
        <w:t>单价报价</w:t>
      </w:r>
      <w:r>
        <w:rPr>
          <w:rFonts w:hint="eastAsia" w:ascii="宋体" w:hAnsi="宋体"/>
          <w:szCs w:val="21"/>
          <w:highlight w:val="none"/>
        </w:rPr>
        <w:t>表</w:t>
      </w:r>
      <w:r>
        <w:rPr>
          <w:rFonts w:ascii="宋体" w:hAnsi="宋体"/>
          <w:szCs w:val="21"/>
          <w:highlight w:val="none"/>
        </w:rPr>
        <w:t>内</w:t>
      </w:r>
      <w:r>
        <w:rPr>
          <w:rFonts w:hint="eastAsia" w:ascii="宋体" w:hAnsi="宋体"/>
          <w:szCs w:val="21"/>
          <w:highlight w:val="none"/>
        </w:rPr>
        <w:t>的</w:t>
      </w:r>
      <w:r>
        <w:rPr>
          <w:rFonts w:ascii="宋体" w:hAnsi="宋体"/>
          <w:szCs w:val="21"/>
          <w:highlight w:val="none"/>
        </w:rPr>
        <w:t>项目</w:t>
      </w:r>
      <w:r>
        <w:rPr>
          <w:rFonts w:hint="eastAsia" w:ascii="宋体" w:hAnsi="宋体"/>
          <w:szCs w:val="21"/>
          <w:highlight w:val="none"/>
        </w:rPr>
        <w:t>或工程量不得更改或</w:t>
      </w:r>
      <w:r>
        <w:rPr>
          <w:rFonts w:ascii="宋体" w:hAnsi="宋体"/>
          <w:szCs w:val="21"/>
          <w:highlight w:val="none"/>
        </w:rPr>
        <w:t>删</w:t>
      </w:r>
      <w:r>
        <w:rPr>
          <w:rFonts w:hint="eastAsia" w:ascii="宋体" w:hAnsi="宋体"/>
          <w:szCs w:val="21"/>
          <w:highlight w:val="none"/>
        </w:rPr>
        <w:t>除，</w:t>
      </w:r>
      <w:r>
        <w:rPr>
          <w:rFonts w:hint="eastAsia" w:ascii="宋体" w:hAnsi="宋体"/>
          <w:spacing w:val="6"/>
          <w:szCs w:val="21"/>
          <w:highlight w:val="none"/>
        </w:rPr>
        <w:t>不能出</w:t>
      </w:r>
      <w:r>
        <w:rPr>
          <w:rFonts w:ascii="宋体" w:hAnsi="宋体"/>
          <w:spacing w:val="6"/>
          <w:szCs w:val="21"/>
          <w:highlight w:val="none"/>
        </w:rPr>
        <w:t>现</w:t>
      </w:r>
      <w:r>
        <w:rPr>
          <w:rFonts w:hint="eastAsia" w:ascii="宋体" w:hAnsi="宋体"/>
          <w:spacing w:val="6"/>
          <w:szCs w:val="21"/>
          <w:highlight w:val="none"/>
        </w:rPr>
        <w:t>缺</w:t>
      </w:r>
      <w:r>
        <w:rPr>
          <w:rFonts w:ascii="宋体" w:hAnsi="宋体"/>
          <w:spacing w:val="6"/>
          <w:szCs w:val="21"/>
          <w:highlight w:val="none"/>
        </w:rPr>
        <w:t>项</w:t>
      </w:r>
      <w:r>
        <w:rPr>
          <w:rFonts w:hint="eastAsia" w:ascii="宋体" w:hAnsi="宋体"/>
          <w:spacing w:val="6"/>
          <w:szCs w:val="21"/>
          <w:highlight w:val="none"/>
        </w:rPr>
        <w:t>、缺</w:t>
      </w:r>
      <w:r>
        <w:rPr>
          <w:rFonts w:ascii="宋体" w:hAnsi="宋体"/>
          <w:spacing w:val="6"/>
          <w:szCs w:val="21"/>
          <w:highlight w:val="none"/>
        </w:rPr>
        <w:t>页</w:t>
      </w:r>
      <w:r>
        <w:rPr>
          <w:rFonts w:hint="eastAsia" w:ascii="宋体" w:hAnsi="宋体"/>
          <w:spacing w:val="6"/>
          <w:szCs w:val="21"/>
          <w:highlight w:val="none"/>
        </w:rPr>
        <w:t>。</w:t>
      </w:r>
      <w:r>
        <w:rPr>
          <w:rFonts w:hint="eastAsia" w:ascii="宋体" w:hAnsi="宋体"/>
          <w:szCs w:val="21"/>
          <w:highlight w:val="none"/>
        </w:rPr>
        <w:t>表</w:t>
      </w:r>
      <w:r>
        <w:rPr>
          <w:rFonts w:hint="eastAsia" w:ascii="宋体" w:hAnsi="宋体"/>
          <w:spacing w:val="6"/>
          <w:szCs w:val="21"/>
          <w:highlight w:val="none"/>
        </w:rPr>
        <w:t>中注明可复印</w:t>
      </w:r>
      <w:r>
        <w:rPr>
          <w:rFonts w:ascii="宋体" w:hAnsi="宋体"/>
          <w:spacing w:val="6"/>
          <w:szCs w:val="21"/>
          <w:highlight w:val="none"/>
        </w:rPr>
        <w:t>填写</w:t>
      </w:r>
      <w:r>
        <w:rPr>
          <w:rFonts w:hint="eastAsia" w:ascii="宋体" w:hAnsi="宋体"/>
          <w:spacing w:val="6"/>
          <w:szCs w:val="21"/>
          <w:highlight w:val="none"/>
        </w:rPr>
        <w:t>的表格投</w:t>
      </w:r>
      <w:r>
        <w:rPr>
          <w:rFonts w:ascii="宋体" w:hAnsi="宋体"/>
          <w:spacing w:val="6"/>
          <w:szCs w:val="21"/>
          <w:highlight w:val="none"/>
        </w:rPr>
        <w:t>标</w:t>
      </w:r>
      <w:r>
        <w:rPr>
          <w:rFonts w:hint="eastAsia" w:ascii="宋体" w:hAnsi="宋体"/>
          <w:spacing w:val="6"/>
          <w:szCs w:val="21"/>
          <w:highlight w:val="none"/>
        </w:rPr>
        <w:t>人根据需要自行复印后，作</w:t>
      </w:r>
      <w:r>
        <w:rPr>
          <w:rFonts w:ascii="宋体" w:hAnsi="宋体"/>
          <w:spacing w:val="6"/>
          <w:szCs w:val="21"/>
          <w:highlight w:val="none"/>
        </w:rPr>
        <w:t>为</w:t>
      </w:r>
      <w:r>
        <w:rPr>
          <w:rFonts w:hint="eastAsia" w:ascii="宋体" w:hAnsi="宋体"/>
          <w:szCs w:val="21"/>
          <w:highlight w:val="none"/>
        </w:rPr>
        <w:t>工程量清</w:t>
      </w:r>
      <w:r>
        <w:rPr>
          <w:rFonts w:ascii="宋体" w:hAnsi="宋体"/>
          <w:szCs w:val="21"/>
          <w:highlight w:val="none"/>
        </w:rPr>
        <w:t>单</w:t>
      </w:r>
      <w:r>
        <w:rPr>
          <w:rFonts w:hint="eastAsia" w:ascii="宋体" w:hAnsi="宋体"/>
          <w:szCs w:val="21"/>
          <w:highlight w:val="none"/>
        </w:rPr>
        <w:t>的一部分在其上</w:t>
      </w:r>
      <w:r>
        <w:rPr>
          <w:rFonts w:hint="eastAsia" w:ascii="宋体" w:hAnsi="宋体"/>
          <w:spacing w:val="6"/>
          <w:szCs w:val="21"/>
          <w:highlight w:val="none"/>
        </w:rPr>
        <w:t>填</w:t>
      </w:r>
      <w:r>
        <w:rPr>
          <w:rFonts w:ascii="宋体" w:hAnsi="宋体"/>
          <w:spacing w:val="6"/>
          <w:szCs w:val="21"/>
          <w:highlight w:val="none"/>
        </w:rPr>
        <w:t>报内</w:t>
      </w:r>
      <w:r>
        <w:rPr>
          <w:rFonts w:hint="eastAsia" w:ascii="宋体" w:hAnsi="宋体"/>
          <w:spacing w:val="6"/>
          <w:szCs w:val="21"/>
          <w:highlight w:val="none"/>
        </w:rPr>
        <w:t>容。</w:t>
      </w:r>
    </w:p>
    <w:p w14:paraId="6C3D0005">
      <w:pPr>
        <w:spacing w:line="360" w:lineRule="auto"/>
        <w:ind w:firstLine="555" w:firstLineChars="250"/>
        <w:rPr>
          <w:rFonts w:ascii="宋体" w:hAnsi="宋体"/>
          <w:szCs w:val="21"/>
          <w:highlight w:val="none"/>
        </w:rPr>
        <w:sectPr>
          <w:footerReference r:id="rId11" w:type="default"/>
          <w:pgSz w:w="11906" w:h="16838"/>
          <w:pgMar w:top="1134" w:right="1134" w:bottom="1134" w:left="1134" w:header="851" w:footer="851" w:gutter="0"/>
          <w:cols w:space="720" w:num="1"/>
          <w:docGrid w:type="lines" w:linePitch="312" w:charSpace="0"/>
        </w:sectPr>
      </w:pPr>
      <w:r>
        <w:rPr>
          <w:rFonts w:ascii="宋体" w:hAnsi="宋体"/>
          <w:spacing w:val="6"/>
          <w:szCs w:val="21"/>
          <w:highlight w:val="none"/>
        </w:rPr>
        <w:t>4</w:t>
      </w:r>
      <w:r>
        <w:rPr>
          <w:rFonts w:hint="eastAsia" w:ascii="宋体" w:hAnsi="宋体"/>
          <w:spacing w:val="6"/>
          <w:szCs w:val="21"/>
          <w:highlight w:val="none"/>
        </w:rPr>
        <w:t>、</w:t>
      </w:r>
      <w:r>
        <w:rPr>
          <w:rFonts w:hint="eastAsia" w:ascii="宋体" w:hAnsi="宋体"/>
          <w:bCs/>
          <w:highlight w:val="none"/>
        </w:rPr>
        <w:t>工程量清</w:t>
      </w:r>
      <w:r>
        <w:rPr>
          <w:rFonts w:ascii="宋体" w:hAnsi="宋体"/>
          <w:bCs/>
          <w:highlight w:val="none"/>
        </w:rPr>
        <w:t>单</w:t>
      </w:r>
      <w:r>
        <w:rPr>
          <w:rFonts w:ascii="宋体" w:hAnsi="宋体"/>
          <w:szCs w:val="21"/>
          <w:highlight w:val="none"/>
        </w:rPr>
        <w:t>须</w:t>
      </w:r>
      <w:r>
        <w:rPr>
          <w:rFonts w:hint="eastAsia" w:ascii="宋体" w:hAnsi="宋体"/>
          <w:szCs w:val="21"/>
          <w:highlight w:val="none"/>
        </w:rPr>
        <w:t>按其要求加</w:t>
      </w:r>
      <w:r>
        <w:rPr>
          <w:rFonts w:ascii="宋体" w:hAnsi="宋体"/>
          <w:szCs w:val="21"/>
          <w:highlight w:val="none"/>
        </w:rPr>
        <w:t>盖</w:t>
      </w:r>
      <w:r>
        <w:rPr>
          <w:rFonts w:hint="eastAsia" w:ascii="宋体" w:hAnsi="宋体"/>
          <w:szCs w:val="21"/>
          <w:highlight w:val="none"/>
        </w:rPr>
        <w:t>投</w:t>
      </w:r>
      <w:r>
        <w:rPr>
          <w:rFonts w:ascii="宋体" w:hAnsi="宋体"/>
          <w:szCs w:val="21"/>
          <w:highlight w:val="none"/>
        </w:rPr>
        <w:t>标</w:t>
      </w:r>
      <w:r>
        <w:rPr>
          <w:rFonts w:hint="eastAsia" w:ascii="宋体" w:hAnsi="宋体"/>
          <w:szCs w:val="21"/>
          <w:highlight w:val="none"/>
        </w:rPr>
        <w:t>人的公司法人公章、由法定代表人</w:t>
      </w:r>
      <w:r>
        <w:rPr>
          <w:rFonts w:ascii="宋体" w:hAnsi="宋体"/>
          <w:szCs w:val="21"/>
          <w:highlight w:val="none"/>
        </w:rPr>
        <w:t>签名</w:t>
      </w:r>
      <w:r>
        <w:rPr>
          <w:rFonts w:hint="eastAsia" w:ascii="宋体" w:hAnsi="宋体"/>
          <w:szCs w:val="21"/>
          <w:highlight w:val="none"/>
        </w:rPr>
        <w:t>或</w:t>
      </w:r>
      <w:r>
        <w:rPr>
          <w:rFonts w:ascii="宋体" w:hAnsi="宋体"/>
          <w:szCs w:val="21"/>
          <w:highlight w:val="none"/>
        </w:rPr>
        <w:t>盖</w:t>
      </w:r>
      <w:r>
        <w:rPr>
          <w:rFonts w:hint="eastAsia" w:ascii="宋体" w:hAnsi="宋体"/>
          <w:szCs w:val="21"/>
          <w:highlight w:val="none"/>
        </w:rPr>
        <w:t>私章，除此以外</w:t>
      </w:r>
      <w:r>
        <w:rPr>
          <w:rFonts w:ascii="宋体" w:hAnsi="宋体"/>
          <w:szCs w:val="21"/>
          <w:highlight w:val="none"/>
        </w:rPr>
        <w:t>，还须</w:t>
      </w:r>
      <w:r>
        <w:rPr>
          <w:rFonts w:hint="eastAsia" w:ascii="宋体" w:hAnsi="宋体"/>
          <w:szCs w:val="21"/>
          <w:highlight w:val="none"/>
        </w:rPr>
        <w:t>按其要求由投</w:t>
      </w:r>
      <w:r>
        <w:rPr>
          <w:rFonts w:ascii="宋体" w:hAnsi="宋体"/>
          <w:szCs w:val="21"/>
          <w:highlight w:val="none"/>
        </w:rPr>
        <w:t>标</w:t>
      </w:r>
      <w:r>
        <w:rPr>
          <w:rFonts w:hint="eastAsia" w:ascii="宋体" w:hAnsi="宋体"/>
          <w:szCs w:val="21"/>
          <w:highlight w:val="none"/>
        </w:rPr>
        <w:t>人本</w:t>
      </w:r>
      <w:r>
        <w:rPr>
          <w:rFonts w:ascii="宋体" w:hAnsi="宋体"/>
          <w:szCs w:val="21"/>
          <w:highlight w:val="none"/>
        </w:rPr>
        <w:t>单</w:t>
      </w:r>
      <w:r>
        <w:rPr>
          <w:rFonts w:hint="eastAsia" w:ascii="宋体" w:hAnsi="宋体"/>
          <w:szCs w:val="21"/>
          <w:highlight w:val="none"/>
        </w:rPr>
        <w:t>位的造价</w:t>
      </w:r>
      <w:r>
        <w:rPr>
          <w:rFonts w:ascii="宋体" w:hAnsi="宋体"/>
          <w:szCs w:val="21"/>
          <w:highlight w:val="none"/>
        </w:rPr>
        <w:t>执业从业</w:t>
      </w:r>
      <w:r>
        <w:rPr>
          <w:rFonts w:hint="eastAsia" w:ascii="宋体" w:hAnsi="宋体"/>
          <w:szCs w:val="21"/>
          <w:highlight w:val="none"/>
        </w:rPr>
        <w:t>人</w:t>
      </w:r>
      <w:r>
        <w:rPr>
          <w:rFonts w:ascii="宋体" w:hAnsi="宋体"/>
          <w:szCs w:val="21"/>
          <w:highlight w:val="none"/>
        </w:rPr>
        <w:t>员</w:t>
      </w:r>
      <w:r>
        <w:rPr>
          <w:rFonts w:hint="eastAsia" w:ascii="宋体" w:hAnsi="宋体"/>
          <w:szCs w:val="21"/>
          <w:highlight w:val="none"/>
        </w:rPr>
        <w:t>（即注</w:t>
      </w:r>
      <w:r>
        <w:rPr>
          <w:rFonts w:ascii="宋体" w:hAnsi="宋体"/>
          <w:szCs w:val="21"/>
          <w:highlight w:val="none"/>
        </w:rPr>
        <w:t>册</w:t>
      </w:r>
      <w:r>
        <w:rPr>
          <w:rFonts w:hint="eastAsia" w:ascii="宋体" w:hAnsi="宋体"/>
          <w:szCs w:val="21"/>
          <w:highlight w:val="none"/>
        </w:rPr>
        <w:t>造价工</w:t>
      </w:r>
      <w:r>
        <w:rPr>
          <w:rFonts w:ascii="宋体" w:hAnsi="宋体"/>
          <w:szCs w:val="21"/>
          <w:highlight w:val="none"/>
        </w:rPr>
        <w:t>程师</w:t>
      </w:r>
      <w:r>
        <w:rPr>
          <w:rFonts w:hint="eastAsia" w:ascii="宋体" w:hAnsi="宋体"/>
          <w:szCs w:val="21"/>
          <w:highlight w:val="none"/>
        </w:rPr>
        <w:t>或造</w:t>
      </w:r>
      <w:r>
        <w:rPr>
          <w:rFonts w:ascii="宋体" w:hAnsi="宋体"/>
          <w:szCs w:val="21"/>
          <w:highlight w:val="none"/>
        </w:rPr>
        <w:t>价员）</w:t>
      </w:r>
      <w:r>
        <w:rPr>
          <w:rFonts w:hint="eastAsia" w:ascii="宋体" w:hAnsi="宋体"/>
          <w:szCs w:val="21"/>
          <w:highlight w:val="none"/>
        </w:rPr>
        <w:t>填</w:t>
      </w:r>
      <w:r>
        <w:rPr>
          <w:rFonts w:ascii="宋体" w:hAnsi="宋体"/>
          <w:szCs w:val="21"/>
          <w:highlight w:val="none"/>
        </w:rPr>
        <w:t>报</w:t>
      </w:r>
      <w:r>
        <w:rPr>
          <w:rFonts w:hint="eastAsia" w:ascii="宋体" w:hAnsi="宋体"/>
          <w:szCs w:val="21"/>
          <w:highlight w:val="none"/>
        </w:rPr>
        <w:t>（允许电脑打印）和</w:t>
      </w:r>
      <w:r>
        <w:rPr>
          <w:rFonts w:ascii="宋体" w:hAnsi="宋体"/>
          <w:szCs w:val="21"/>
          <w:highlight w:val="none"/>
        </w:rPr>
        <w:t>签</w:t>
      </w:r>
      <w:r>
        <w:rPr>
          <w:rFonts w:hint="eastAsia" w:ascii="宋体" w:hAnsi="宋体"/>
          <w:szCs w:val="21"/>
          <w:highlight w:val="none"/>
        </w:rPr>
        <w:t>署，由注</w:t>
      </w:r>
      <w:r>
        <w:rPr>
          <w:rFonts w:ascii="宋体" w:hAnsi="宋体"/>
          <w:szCs w:val="21"/>
          <w:highlight w:val="none"/>
        </w:rPr>
        <w:t>册</w:t>
      </w:r>
      <w:r>
        <w:rPr>
          <w:rFonts w:hint="eastAsia" w:ascii="宋体" w:hAnsi="宋体"/>
          <w:szCs w:val="21"/>
          <w:highlight w:val="none"/>
        </w:rPr>
        <w:t>造价工</w:t>
      </w:r>
      <w:r>
        <w:rPr>
          <w:rFonts w:ascii="宋体" w:hAnsi="宋体"/>
          <w:szCs w:val="21"/>
          <w:highlight w:val="none"/>
        </w:rPr>
        <w:t>程师签署时</w:t>
      </w:r>
      <w:r>
        <w:rPr>
          <w:rFonts w:hint="eastAsia" w:ascii="宋体" w:hAnsi="宋体"/>
          <w:szCs w:val="21"/>
          <w:highlight w:val="none"/>
        </w:rPr>
        <w:t>要求</w:t>
      </w:r>
      <w:r>
        <w:rPr>
          <w:rFonts w:ascii="宋体" w:hAnsi="宋体"/>
          <w:szCs w:val="21"/>
          <w:highlight w:val="none"/>
        </w:rPr>
        <w:t>盖</w:t>
      </w:r>
      <w:r>
        <w:rPr>
          <w:rFonts w:hint="eastAsia" w:ascii="宋体" w:hAnsi="宋体"/>
          <w:szCs w:val="21"/>
          <w:highlight w:val="none"/>
        </w:rPr>
        <w:t>其注</w:t>
      </w:r>
      <w:r>
        <w:rPr>
          <w:rFonts w:ascii="宋体" w:hAnsi="宋体"/>
          <w:szCs w:val="21"/>
          <w:highlight w:val="none"/>
        </w:rPr>
        <w:t>册</w:t>
      </w:r>
      <w:r>
        <w:rPr>
          <w:rFonts w:hint="eastAsia" w:ascii="宋体" w:hAnsi="宋体"/>
          <w:szCs w:val="21"/>
          <w:highlight w:val="none"/>
        </w:rPr>
        <w:t>章并</w:t>
      </w:r>
      <w:r>
        <w:rPr>
          <w:rFonts w:ascii="宋体" w:hAnsi="宋体"/>
          <w:szCs w:val="21"/>
          <w:highlight w:val="none"/>
        </w:rPr>
        <w:t>签名</w:t>
      </w:r>
      <w:r>
        <w:rPr>
          <w:rFonts w:hint="eastAsia" w:ascii="宋体" w:hAnsi="宋体"/>
          <w:szCs w:val="21"/>
          <w:highlight w:val="none"/>
        </w:rPr>
        <w:t>，由造</w:t>
      </w:r>
      <w:r>
        <w:rPr>
          <w:rFonts w:ascii="宋体" w:hAnsi="宋体"/>
          <w:szCs w:val="21"/>
          <w:highlight w:val="none"/>
        </w:rPr>
        <w:t>价员签署时</w:t>
      </w:r>
      <w:r>
        <w:rPr>
          <w:rFonts w:hint="eastAsia" w:ascii="宋体" w:hAnsi="宋体"/>
          <w:szCs w:val="21"/>
          <w:highlight w:val="none"/>
        </w:rPr>
        <w:t>要求</w:t>
      </w:r>
      <w:r>
        <w:rPr>
          <w:rFonts w:ascii="宋体" w:hAnsi="宋体"/>
          <w:szCs w:val="21"/>
          <w:highlight w:val="none"/>
        </w:rPr>
        <w:t>盖</w:t>
      </w:r>
      <w:r>
        <w:rPr>
          <w:rFonts w:hint="eastAsia" w:ascii="宋体" w:hAnsi="宋体"/>
          <w:szCs w:val="21"/>
          <w:highlight w:val="none"/>
        </w:rPr>
        <w:t>其</w:t>
      </w:r>
      <w:r>
        <w:rPr>
          <w:rFonts w:ascii="宋体" w:hAnsi="宋体"/>
          <w:szCs w:val="21"/>
          <w:highlight w:val="none"/>
        </w:rPr>
        <w:t>专用章</w:t>
      </w:r>
      <w:r>
        <w:rPr>
          <w:rFonts w:hint="eastAsia" w:ascii="宋体" w:hAnsi="宋体"/>
          <w:szCs w:val="21"/>
          <w:highlight w:val="none"/>
        </w:rPr>
        <w:t>并</w:t>
      </w:r>
      <w:r>
        <w:rPr>
          <w:rFonts w:ascii="宋体" w:hAnsi="宋体"/>
          <w:szCs w:val="21"/>
          <w:highlight w:val="none"/>
        </w:rPr>
        <w:t>签名</w:t>
      </w:r>
      <w:r>
        <w:rPr>
          <w:rFonts w:hint="eastAsia" w:ascii="宋体" w:hAnsi="宋体"/>
          <w:szCs w:val="21"/>
          <w:highlight w:val="none"/>
        </w:rPr>
        <w:t>（投</w:t>
      </w:r>
      <w:r>
        <w:rPr>
          <w:rFonts w:ascii="宋体" w:hAnsi="宋体"/>
          <w:szCs w:val="21"/>
          <w:highlight w:val="none"/>
        </w:rPr>
        <w:t>标</w:t>
      </w:r>
      <w:r>
        <w:rPr>
          <w:rFonts w:hint="eastAsia" w:ascii="宋体" w:hAnsi="宋体"/>
          <w:szCs w:val="21"/>
          <w:highlight w:val="none"/>
        </w:rPr>
        <w:t>人亦可委托具有相</w:t>
      </w:r>
      <w:r>
        <w:rPr>
          <w:rFonts w:ascii="宋体" w:hAnsi="宋体"/>
          <w:szCs w:val="21"/>
          <w:highlight w:val="none"/>
        </w:rPr>
        <w:t>应资质</w:t>
      </w:r>
      <w:r>
        <w:rPr>
          <w:rFonts w:hint="eastAsia" w:ascii="宋体" w:hAnsi="宋体"/>
          <w:szCs w:val="21"/>
          <w:highlight w:val="none"/>
        </w:rPr>
        <w:t>并已在汕头市</w:t>
      </w:r>
      <w:r>
        <w:rPr>
          <w:rFonts w:ascii="宋体" w:hAnsi="宋体"/>
          <w:szCs w:val="21"/>
          <w:highlight w:val="none"/>
        </w:rPr>
        <w:t>备</w:t>
      </w:r>
      <w:r>
        <w:rPr>
          <w:rFonts w:hint="eastAsia" w:ascii="宋体" w:hAnsi="宋体"/>
          <w:szCs w:val="21"/>
          <w:highlight w:val="none"/>
        </w:rPr>
        <w:t>案的工程造价中介咨</w:t>
      </w:r>
      <w:r>
        <w:rPr>
          <w:rFonts w:ascii="宋体" w:hAnsi="宋体"/>
          <w:szCs w:val="21"/>
          <w:highlight w:val="none"/>
        </w:rPr>
        <w:t>询</w:t>
      </w:r>
      <w:r>
        <w:rPr>
          <w:rFonts w:hint="eastAsia" w:ascii="宋体" w:hAnsi="宋体"/>
          <w:szCs w:val="21"/>
          <w:highlight w:val="none"/>
        </w:rPr>
        <w:t>机构的注</w:t>
      </w:r>
      <w:r>
        <w:rPr>
          <w:rFonts w:ascii="宋体" w:hAnsi="宋体"/>
          <w:szCs w:val="21"/>
          <w:highlight w:val="none"/>
        </w:rPr>
        <w:t>册</w:t>
      </w:r>
      <w:r>
        <w:rPr>
          <w:rFonts w:hint="eastAsia" w:ascii="宋体" w:hAnsi="宋体"/>
          <w:szCs w:val="21"/>
          <w:highlight w:val="none"/>
        </w:rPr>
        <w:t>造价工</w:t>
      </w:r>
      <w:r>
        <w:rPr>
          <w:rFonts w:ascii="宋体" w:hAnsi="宋体"/>
          <w:szCs w:val="21"/>
          <w:highlight w:val="none"/>
        </w:rPr>
        <w:t>程师代为</w:t>
      </w:r>
      <w:r>
        <w:rPr>
          <w:rFonts w:hint="eastAsia" w:ascii="宋体" w:hAnsi="宋体"/>
          <w:szCs w:val="21"/>
          <w:highlight w:val="none"/>
        </w:rPr>
        <w:t>填</w:t>
      </w:r>
      <w:r>
        <w:rPr>
          <w:rFonts w:ascii="宋体" w:hAnsi="宋体"/>
          <w:szCs w:val="21"/>
          <w:highlight w:val="none"/>
        </w:rPr>
        <w:t>报</w:t>
      </w:r>
      <w:r>
        <w:rPr>
          <w:rFonts w:hint="eastAsia" w:ascii="宋体" w:hAnsi="宋体"/>
          <w:szCs w:val="21"/>
          <w:highlight w:val="none"/>
        </w:rPr>
        <w:t>和</w:t>
      </w:r>
      <w:r>
        <w:rPr>
          <w:rFonts w:ascii="宋体" w:hAnsi="宋体"/>
          <w:szCs w:val="21"/>
          <w:highlight w:val="none"/>
        </w:rPr>
        <w:t>签</w:t>
      </w:r>
      <w:r>
        <w:rPr>
          <w:rFonts w:hint="eastAsia" w:ascii="宋体" w:hAnsi="宋体"/>
          <w:szCs w:val="21"/>
          <w:highlight w:val="none"/>
        </w:rPr>
        <w:t>署。</w:t>
      </w:r>
    </w:p>
    <w:p w14:paraId="3B58337B">
      <w:pPr>
        <w:pStyle w:val="3"/>
        <w:jc w:val="center"/>
        <w:rPr>
          <w:highlight w:val="none"/>
        </w:rPr>
      </w:pPr>
      <w:bookmarkStart w:id="112" w:name="_Toc19877"/>
      <w:r>
        <w:rPr>
          <w:rFonts w:hint="eastAsia"/>
          <w:highlight w:val="none"/>
        </w:rPr>
        <w:t>第四章  合同条款及格式</w:t>
      </w:r>
      <w:bookmarkEnd w:id="112"/>
    </w:p>
    <w:p w14:paraId="6D8D7650">
      <w:pPr>
        <w:spacing w:line="360" w:lineRule="auto"/>
        <w:rPr>
          <w:rFonts w:ascii="宋体" w:hAnsi="宋体"/>
          <w:highlight w:val="none"/>
        </w:rPr>
      </w:pPr>
      <w:r>
        <w:rPr>
          <w:rFonts w:hint="eastAsia" w:ascii="宋体" w:hAnsi="宋体"/>
          <w:highlight w:val="none"/>
        </w:rPr>
        <w:t>1、本工程使用《广东省建设工程标准施工合同2009年版》，依据国家、广东省汕头市的相关法律、法规、规章和规范性文件编制相关条款。</w:t>
      </w:r>
    </w:p>
    <w:p w14:paraId="7E4DEE4F">
      <w:pPr>
        <w:spacing w:line="360" w:lineRule="auto"/>
        <w:rPr>
          <w:rFonts w:ascii="宋体" w:hAnsi="宋体"/>
          <w:highlight w:val="none"/>
        </w:rPr>
      </w:pPr>
      <w:r>
        <w:rPr>
          <w:rFonts w:hint="eastAsia" w:ascii="宋体" w:hAnsi="宋体"/>
          <w:highlight w:val="none"/>
        </w:rPr>
        <w:t>2、《广东省建设工程标准施工合同2009年版》内编制的条款由招标人负责解释。</w:t>
      </w:r>
    </w:p>
    <w:p w14:paraId="73EDE814">
      <w:pPr>
        <w:spacing w:line="360" w:lineRule="auto"/>
        <w:rPr>
          <w:rFonts w:ascii="宋体" w:hAnsi="宋体"/>
          <w:szCs w:val="21"/>
          <w:highlight w:val="none"/>
        </w:rPr>
      </w:pPr>
    </w:p>
    <w:p w14:paraId="19EB00B1">
      <w:pPr>
        <w:pStyle w:val="4"/>
        <w:spacing w:before="0" w:after="0"/>
        <w:jc w:val="center"/>
        <w:rPr>
          <w:highlight w:val="none"/>
        </w:rPr>
      </w:pPr>
      <w:r>
        <w:rPr>
          <w:szCs w:val="21"/>
          <w:highlight w:val="none"/>
        </w:rPr>
        <w:br w:type="page"/>
      </w:r>
      <w:bookmarkStart w:id="113" w:name="_Toc322427260"/>
      <w:bookmarkStart w:id="114" w:name="_Toc68598553"/>
      <w:bookmarkStart w:id="115" w:name="_Toc44235684"/>
      <w:bookmarkStart w:id="116" w:name="_Toc25095"/>
      <w:bookmarkStart w:id="117" w:name="_Toc44236274"/>
      <w:bookmarkStart w:id="118" w:name="_Toc282943452"/>
      <w:bookmarkStart w:id="119" w:name="_Toc44236083"/>
      <w:bookmarkStart w:id="120" w:name="_Toc512609914"/>
      <w:r>
        <w:rPr>
          <w:rFonts w:hint="eastAsia"/>
          <w:highlight w:val="none"/>
        </w:rPr>
        <w:t>第一部分 协议书</w:t>
      </w:r>
      <w:bookmarkEnd w:id="113"/>
      <w:bookmarkEnd w:id="114"/>
      <w:bookmarkEnd w:id="115"/>
      <w:bookmarkEnd w:id="116"/>
      <w:bookmarkEnd w:id="117"/>
      <w:bookmarkEnd w:id="118"/>
      <w:bookmarkEnd w:id="119"/>
      <w:bookmarkEnd w:id="120"/>
    </w:p>
    <w:p w14:paraId="51FEAFB2">
      <w:pPr>
        <w:rPr>
          <w:highlight w:val="none"/>
        </w:rPr>
      </w:pPr>
    </w:p>
    <w:p w14:paraId="293E7B85">
      <w:pPr>
        <w:pStyle w:val="62"/>
        <w:spacing w:line="360" w:lineRule="auto"/>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发包人:（全称）</w:t>
      </w:r>
      <w:r>
        <w:rPr>
          <w:rFonts w:ascii="宋体" w:hAnsi="宋体" w:eastAsia="宋体"/>
          <w:color w:val="auto"/>
          <w:sz w:val="21"/>
          <w:szCs w:val="21"/>
          <w:highlight w:val="none"/>
          <w:u w:val="single"/>
        </w:rPr>
        <w:t>广东潮阳农村商业银行股份有限公司</w:t>
      </w:r>
      <w:r>
        <w:rPr>
          <w:rFonts w:ascii="宋体" w:hAnsi="宋体"/>
          <w:color w:val="auto"/>
          <w:sz w:val="21"/>
          <w:szCs w:val="21"/>
          <w:highlight w:val="none"/>
          <w:u w:val="single"/>
        </w:rPr>
        <w:t xml:space="preserve"> </w:t>
      </w:r>
    </w:p>
    <w:p w14:paraId="74531412">
      <w:pPr>
        <w:pStyle w:val="62"/>
        <w:spacing w:line="360" w:lineRule="auto"/>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承包人:（全称）</w:t>
      </w:r>
      <w:r>
        <w:rPr>
          <w:rFonts w:ascii="宋体" w:hAnsi="宋体" w:eastAsia="宋体" w:cs="宋体"/>
          <w:color w:val="auto"/>
          <w:sz w:val="21"/>
          <w:szCs w:val="21"/>
          <w:highlight w:val="none"/>
          <w:u w:val="single"/>
        </w:rPr>
        <w:t xml:space="preserve">                             </w:t>
      </w:r>
    </w:p>
    <w:p w14:paraId="0E8133AF">
      <w:pPr>
        <w:spacing w:line="360" w:lineRule="auto"/>
        <w:ind w:firstLine="420" w:firstLineChars="200"/>
        <w:rPr>
          <w:rFonts w:ascii="宋体" w:hAnsi="宋体"/>
          <w:szCs w:val="21"/>
          <w:highlight w:val="none"/>
        </w:rPr>
      </w:pPr>
      <w:r>
        <w:rPr>
          <w:rFonts w:hint="eastAsia" w:ascii="宋体" w:hAnsi="宋体"/>
          <w:szCs w:val="21"/>
          <w:highlight w:val="none"/>
        </w:rPr>
        <w:t>依照《中华人民共和国合同法》、《中华人民共和国建筑法》及其他有关法律法规，遵循平等、自愿、公平和诚实信用的原则，合同双方当事人就合同工程施工有关事项达成一致意见，订立本协议书。</w:t>
      </w:r>
      <w:r>
        <w:rPr>
          <w:rFonts w:ascii="宋体" w:hAnsi="宋体"/>
          <w:szCs w:val="21"/>
          <w:highlight w:val="none"/>
        </w:rPr>
        <w:t xml:space="preserve"> </w:t>
      </w:r>
    </w:p>
    <w:p w14:paraId="2ADCB5EE">
      <w:pPr>
        <w:pStyle w:val="7"/>
        <w:rPr>
          <w:highlight w:val="none"/>
        </w:rPr>
      </w:pPr>
      <w:r>
        <w:rPr>
          <w:rFonts w:hint="eastAsia"/>
          <w:highlight w:val="none"/>
        </w:rPr>
        <w:t>一、工程概况</w:t>
      </w:r>
    </w:p>
    <w:p w14:paraId="3AF0269C">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工程名称：</w:t>
      </w:r>
      <w:r>
        <w:rPr>
          <w:rFonts w:ascii="宋体" w:hAnsi="宋体" w:eastAsia="宋体"/>
          <w:color w:val="auto"/>
          <w:sz w:val="21"/>
          <w:szCs w:val="21"/>
          <w:highlight w:val="none"/>
          <w:u w:val="single"/>
        </w:rPr>
        <w:t xml:space="preserve">                  </w:t>
      </w:r>
      <w:r>
        <w:rPr>
          <w:rFonts w:ascii="宋体" w:hAnsi="宋体"/>
          <w:color w:val="auto"/>
          <w:sz w:val="21"/>
          <w:szCs w:val="21"/>
          <w:highlight w:val="none"/>
          <w:u w:val="single"/>
        </w:rPr>
        <w:t xml:space="preserve"> </w:t>
      </w:r>
    </w:p>
    <w:p w14:paraId="62CB3C0F">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工程地点：</w:t>
      </w:r>
      <w:r>
        <w:rPr>
          <w:rFonts w:ascii="宋体" w:hAnsi="宋体"/>
          <w:color w:val="auto"/>
          <w:sz w:val="21"/>
          <w:szCs w:val="21"/>
          <w:highlight w:val="none"/>
          <w:u w:val="single"/>
        </w:rPr>
        <w:t xml:space="preserve">                   </w:t>
      </w:r>
    </w:p>
    <w:p w14:paraId="739AE11A">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工程内容：</w:t>
      </w:r>
      <w:r>
        <w:rPr>
          <w:rFonts w:ascii="宋体" w:hAnsi="宋体" w:eastAsia="宋体"/>
          <w:color w:val="auto"/>
          <w:sz w:val="21"/>
          <w:szCs w:val="21"/>
          <w:highlight w:val="none"/>
          <w:u w:val="single"/>
        </w:rPr>
        <w:t xml:space="preserve">                             </w:t>
      </w:r>
    </w:p>
    <w:p w14:paraId="6B14A53E">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工程规模：</w:t>
      </w:r>
      <w:r>
        <w:rPr>
          <w:rFonts w:ascii="宋体" w:hAnsi="宋体" w:eastAsia="宋体"/>
          <w:color w:val="auto"/>
          <w:sz w:val="21"/>
          <w:szCs w:val="21"/>
          <w:highlight w:val="none"/>
          <w:u w:val="single"/>
        </w:rPr>
        <w:t xml:space="preserve">                      </w:t>
      </w:r>
      <w:r>
        <w:rPr>
          <w:rFonts w:ascii="宋体" w:hAnsi="宋体" w:eastAsia="宋体" w:cs="宋体"/>
          <w:color w:val="auto"/>
          <w:sz w:val="21"/>
          <w:szCs w:val="21"/>
          <w:highlight w:val="none"/>
        </w:rPr>
        <w:t>结构形式：</w:t>
      </w:r>
      <w:r>
        <w:rPr>
          <w:rFonts w:ascii="宋体" w:hAnsi="宋体" w:eastAsia="宋体"/>
          <w:color w:val="auto"/>
          <w:sz w:val="21"/>
          <w:szCs w:val="21"/>
          <w:highlight w:val="none"/>
          <w:u w:val="single"/>
        </w:rPr>
        <w:t xml:space="preserve">           </w:t>
      </w:r>
    </w:p>
    <w:p w14:paraId="487C99C7">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工程立项、规划批准文件号：</w:t>
      </w:r>
      <w:r>
        <w:rPr>
          <w:rFonts w:ascii="宋体" w:hAnsi="宋体"/>
          <w:color w:val="auto"/>
          <w:szCs w:val="21"/>
          <w:highlight w:val="none"/>
          <w:u w:val="single"/>
        </w:rPr>
        <w:t xml:space="preserve">   /  </w:t>
      </w:r>
    </w:p>
    <w:p w14:paraId="52C66E67">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资金来源：</w:t>
      </w:r>
      <w:r>
        <w:rPr>
          <w:rFonts w:ascii="宋体" w:hAnsi="宋体" w:eastAsia="宋体"/>
          <w:color w:val="auto"/>
          <w:sz w:val="21"/>
          <w:szCs w:val="21"/>
          <w:highlight w:val="none"/>
          <w:u w:val="single"/>
        </w:rPr>
        <w:t xml:space="preserve">  </w:t>
      </w:r>
      <w:r>
        <w:rPr>
          <w:rFonts w:ascii="宋体" w:hAnsi="宋体"/>
          <w:color w:val="auto"/>
          <w:sz w:val="21"/>
          <w:szCs w:val="21"/>
          <w:highlight w:val="none"/>
          <w:u w:val="single"/>
        </w:rPr>
        <w:t xml:space="preserve">    </w:t>
      </w:r>
    </w:p>
    <w:p w14:paraId="6F6FF72F">
      <w:pPr>
        <w:pStyle w:val="7"/>
        <w:rPr>
          <w:rFonts w:cs="宋体"/>
          <w:sz w:val="21"/>
          <w:szCs w:val="21"/>
          <w:highlight w:val="none"/>
        </w:rPr>
      </w:pPr>
      <w:r>
        <w:rPr>
          <w:rFonts w:hint="eastAsia"/>
          <w:highlight w:val="none"/>
        </w:rPr>
        <w:t>二、工程承包范围</w:t>
      </w:r>
    </w:p>
    <w:p w14:paraId="43ED1468">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承包范围：</w:t>
      </w:r>
      <w:r>
        <w:rPr>
          <w:rFonts w:ascii="宋体" w:hAnsi="宋体"/>
          <w:color w:val="auto"/>
          <w:szCs w:val="21"/>
          <w:highlight w:val="none"/>
          <w:u w:val="single"/>
        </w:rPr>
        <w:t xml:space="preserve"> </w:t>
      </w:r>
      <w:r>
        <w:rPr>
          <w:rFonts w:ascii="宋体" w:hAnsi="宋体"/>
          <w:color w:val="auto"/>
          <w:sz w:val="21"/>
          <w:szCs w:val="21"/>
          <w:highlight w:val="none"/>
          <w:u w:val="single"/>
        </w:rPr>
        <w:t xml:space="preserve">                              </w:t>
      </w:r>
    </w:p>
    <w:p w14:paraId="171B1857">
      <w:pPr>
        <w:pStyle w:val="7"/>
        <w:rPr>
          <w:rFonts w:cs="宋体"/>
          <w:sz w:val="21"/>
          <w:szCs w:val="21"/>
          <w:highlight w:val="none"/>
        </w:rPr>
      </w:pPr>
      <w:r>
        <w:rPr>
          <w:rFonts w:hint="eastAsia"/>
          <w:highlight w:val="none"/>
        </w:rPr>
        <w:t>三、合同工期</w:t>
      </w:r>
    </w:p>
    <w:p w14:paraId="4B8896F0">
      <w:pPr>
        <w:spacing w:line="360" w:lineRule="auto"/>
        <w:ind w:left="1115" w:leftChars="250" w:hanging="590" w:hangingChars="281"/>
        <w:rPr>
          <w:rFonts w:ascii="宋体" w:hAnsi="宋体"/>
          <w:szCs w:val="21"/>
          <w:highlight w:val="none"/>
        </w:rPr>
      </w:pPr>
      <w:r>
        <w:rPr>
          <w:rFonts w:hint="eastAsia" w:ascii="宋体" w:hAnsi="宋体"/>
          <w:szCs w:val="21"/>
          <w:highlight w:val="none"/>
        </w:rPr>
        <w:t>工程合同工期总日历天数：</w:t>
      </w:r>
      <w:r>
        <w:rPr>
          <w:rFonts w:hint="eastAsia" w:ascii="宋体" w:hAnsi="宋体"/>
          <w:szCs w:val="21"/>
          <w:highlight w:val="none"/>
          <w:u w:val="single"/>
        </w:rPr>
        <w:t xml:space="preserve">           </w:t>
      </w:r>
      <w:r>
        <w:rPr>
          <w:rFonts w:hint="eastAsia" w:ascii="宋体" w:hAnsi="宋体"/>
          <w:szCs w:val="21"/>
          <w:highlight w:val="none"/>
        </w:rPr>
        <w:t>天。</w:t>
      </w:r>
    </w:p>
    <w:p w14:paraId="0C84A13B">
      <w:pPr>
        <w:spacing w:line="360" w:lineRule="auto"/>
        <w:ind w:firstLine="420" w:firstLineChars="200"/>
        <w:jc w:val="left"/>
        <w:rPr>
          <w:rFonts w:ascii="宋体" w:hAnsi="宋体" w:cs="宋体"/>
          <w:szCs w:val="21"/>
          <w:highlight w:val="none"/>
        </w:rPr>
      </w:pPr>
      <w:r>
        <w:rPr>
          <w:rFonts w:hint="eastAsia" w:ascii="宋体" w:hAnsi="宋体"/>
          <w:szCs w:val="21"/>
          <w:highlight w:val="none"/>
        </w:rPr>
        <w:t>拟从</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日开始施工，至</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日竣工完成。</w:t>
      </w:r>
      <w:r>
        <w:rPr>
          <w:rFonts w:hint="eastAsia" w:ascii="宋体" w:hAnsi="宋体" w:cs="宋体"/>
          <w:szCs w:val="21"/>
          <w:highlight w:val="none"/>
        </w:rPr>
        <w:t>（实际开工时间以招标人书面进场通知所载明时间为准，竣工时间以招标人复核批准的时间为准）</w:t>
      </w:r>
    </w:p>
    <w:p w14:paraId="64965DC4">
      <w:pPr>
        <w:pStyle w:val="7"/>
        <w:rPr>
          <w:highlight w:val="none"/>
        </w:rPr>
      </w:pPr>
      <w:r>
        <w:rPr>
          <w:rFonts w:hint="eastAsia"/>
          <w:highlight w:val="none"/>
        </w:rPr>
        <w:t>四、质量标准</w:t>
      </w:r>
    </w:p>
    <w:p w14:paraId="408BAEC8">
      <w:pPr>
        <w:pStyle w:val="62"/>
        <w:spacing w:line="360" w:lineRule="auto"/>
        <w:ind w:firstLine="420" w:firstLineChars="200"/>
        <w:jc w:val="both"/>
        <w:rPr>
          <w:rFonts w:hint="default" w:ascii="宋体" w:hAnsi="宋体"/>
          <w:color w:val="auto"/>
          <w:szCs w:val="21"/>
          <w:highlight w:val="none"/>
          <w:u w:val="single"/>
        </w:rPr>
      </w:pPr>
      <w:r>
        <w:rPr>
          <w:rFonts w:ascii="宋体" w:hAnsi="宋体" w:eastAsia="宋体" w:cs="宋体"/>
          <w:color w:val="auto"/>
          <w:sz w:val="21"/>
          <w:szCs w:val="21"/>
          <w:highlight w:val="none"/>
        </w:rPr>
        <w:t>工程质量标准：达到国家或行业质量检验评定的合格标准。</w:t>
      </w:r>
    </w:p>
    <w:p w14:paraId="7EEADBD4">
      <w:pPr>
        <w:pStyle w:val="62"/>
        <w:spacing w:line="360" w:lineRule="auto"/>
        <w:ind w:firstLine="420" w:firstLineChars="200"/>
        <w:jc w:val="both"/>
        <w:rPr>
          <w:rFonts w:hint="default" w:ascii="宋体" w:hAnsi="宋体" w:eastAsia="宋体" w:cs="宋体"/>
          <w:color w:val="auto"/>
          <w:sz w:val="21"/>
          <w:szCs w:val="21"/>
          <w:highlight w:val="none"/>
        </w:rPr>
      </w:pPr>
    </w:p>
    <w:p w14:paraId="70B42794">
      <w:pPr>
        <w:pStyle w:val="7"/>
        <w:rPr>
          <w:rFonts w:cs="宋体"/>
          <w:sz w:val="21"/>
          <w:szCs w:val="21"/>
          <w:highlight w:val="none"/>
        </w:rPr>
      </w:pPr>
      <w:r>
        <w:rPr>
          <w:rFonts w:hint="eastAsia"/>
          <w:highlight w:val="none"/>
        </w:rPr>
        <w:t>五、合同价款</w:t>
      </w:r>
    </w:p>
    <w:p w14:paraId="681EDA2B">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合同总价（大写）：</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w:t>
      </w:r>
    </w:p>
    <w:p w14:paraId="77F3C44D">
      <w:pPr>
        <w:pStyle w:val="62"/>
        <w:spacing w:line="360" w:lineRule="auto"/>
        <w:ind w:firstLine="1260" w:firstLineChars="6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（小写）：</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w:t>
      </w:r>
    </w:p>
    <w:p w14:paraId="490234D7">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项目单价：</w:t>
      </w:r>
      <w:r>
        <w:rPr>
          <w:rFonts w:ascii="宋体" w:hAnsi="宋体"/>
          <w:color w:val="auto"/>
          <w:szCs w:val="21"/>
          <w:highlight w:val="none"/>
        </w:rPr>
        <w:t>■</w:t>
      </w:r>
      <w:r>
        <w:rPr>
          <w:rFonts w:ascii="宋体" w:hAnsi="宋体" w:eastAsia="宋体" w:cs="宋体"/>
          <w:color w:val="auto"/>
          <w:sz w:val="21"/>
          <w:szCs w:val="21"/>
          <w:highlight w:val="none"/>
        </w:rPr>
        <w:t>详见承包人的投标报价书（招标工程）；</w:t>
      </w:r>
    </w:p>
    <w:p w14:paraId="0793BFD6">
      <w:pPr>
        <w:pStyle w:val="62"/>
        <w:spacing w:line="360" w:lineRule="auto"/>
        <w:ind w:firstLine="1440" w:firstLineChars="600"/>
        <w:jc w:val="both"/>
        <w:rPr>
          <w:rFonts w:hint="default" w:ascii="宋体" w:hAnsi="宋体" w:eastAsia="宋体" w:cs="宋体"/>
          <w:color w:val="auto"/>
          <w:sz w:val="21"/>
          <w:szCs w:val="21"/>
          <w:highlight w:val="none"/>
        </w:rPr>
      </w:pPr>
      <w:r>
        <w:rPr>
          <w:rFonts w:ascii="宋体" w:hAnsi="宋体"/>
          <w:color w:val="auto"/>
          <w:szCs w:val="21"/>
          <w:highlight w:val="none"/>
        </w:rPr>
        <w:t>□</w:t>
      </w:r>
      <w:r>
        <w:rPr>
          <w:rFonts w:ascii="宋体" w:hAnsi="宋体" w:eastAsia="宋体" w:cs="宋体"/>
          <w:color w:val="auto"/>
          <w:sz w:val="21"/>
          <w:szCs w:val="21"/>
          <w:highlight w:val="none"/>
        </w:rPr>
        <w:t>详见经确认的工程量清单报价单或施工图预算书（非招标工程）。</w:t>
      </w:r>
    </w:p>
    <w:p w14:paraId="77B27FE0">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其中包含：</w:t>
      </w:r>
    </w:p>
    <w:p w14:paraId="184F017C">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定额工日工资总额为人民币（大写）：</w:t>
      </w:r>
      <w:r>
        <w:rPr>
          <w:rFonts w:ascii="宋体" w:hAnsi="宋体" w:eastAsia="宋体"/>
          <w:color w:val="auto"/>
          <w:sz w:val="21"/>
          <w:szCs w:val="21"/>
          <w:highlight w:val="none"/>
          <w:u w:val="single"/>
        </w:rPr>
        <w:t xml:space="preserve">                  </w:t>
      </w:r>
      <w:r>
        <w:rPr>
          <w:rFonts w:ascii="宋体" w:hAnsi="宋体" w:eastAsia="宋体" w:cs="宋体"/>
          <w:color w:val="auto"/>
          <w:sz w:val="21"/>
          <w:szCs w:val="21"/>
          <w:highlight w:val="none"/>
        </w:rPr>
        <w:t>，人民币（小写）：</w:t>
      </w:r>
      <w:r>
        <w:rPr>
          <w:rFonts w:ascii="宋体" w:hAnsi="宋体" w:eastAsia="宋体"/>
          <w:color w:val="auto"/>
          <w:sz w:val="21"/>
          <w:szCs w:val="21"/>
          <w:highlight w:val="none"/>
          <w:u w:val="single"/>
        </w:rPr>
        <w:t xml:space="preserve">            </w:t>
      </w:r>
      <w:r>
        <w:rPr>
          <w:rFonts w:ascii="宋体" w:hAnsi="宋体" w:eastAsia="宋体" w:cs="宋体"/>
          <w:color w:val="auto"/>
          <w:sz w:val="21"/>
          <w:szCs w:val="21"/>
          <w:highlight w:val="none"/>
        </w:rPr>
        <w:t>元。</w:t>
      </w:r>
    </w:p>
    <w:p w14:paraId="7C8A8BE3">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单列部分的：</w:t>
      </w:r>
    </w:p>
    <w:p w14:paraId="27B487CA">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安全防护、文明施工费人民币（大写）：</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，人民币（小写）：</w:t>
      </w:r>
      <w:r>
        <w:rPr>
          <w:rFonts w:ascii="宋体" w:hAnsi="宋体" w:eastAsia="宋体" w:cs="宋体"/>
          <w:color w:val="auto"/>
          <w:sz w:val="21"/>
          <w:szCs w:val="21"/>
          <w:highlight w:val="none"/>
          <w:u w:val="single"/>
        </w:rPr>
        <w:t xml:space="preserve"> </w:t>
      </w:r>
      <w:r>
        <w:rPr>
          <w:rFonts w:ascii="宋体" w:hAnsi="宋体" w:eastAsia="宋体"/>
          <w:color w:val="auto"/>
          <w:sz w:val="21"/>
          <w:szCs w:val="21"/>
          <w:highlight w:val="none"/>
          <w:u w:val="single"/>
        </w:rPr>
        <w:t xml:space="preserve">           </w:t>
      </w:r>
      <w:r>
        <w:rPr>
          <w:rFonts w:ascii="宋体" w:hAnsi="宋体" w:eastAsia="宋体" w:cs="宋体"/>
          <w:color w:val="auto"/>
          <w:sz w:val="21"/>
          <w:szCs w:val="21"/>
          <w:highlight w:val="none"/>
        </w:rPr>
        <w:t>元；</w:t>
      </w:r>
    </w:p>
    <w:p w14:paraId="77DE37B3">
      <w:pPr>
        <w:pStyle w:val="62"/>
        <w:spacing w:line="360" w:lineRule="auto"/>
        <w:ind w:firstLine="420" w:firstLineChars="200"/>
        <w:jc w:val="both"/>
        <w:rPr>
          <w:rFonts w:hint="default" w:ascii="宋体" w:hAnsi="宋体"/>
          <w:color w:val="auto"/>
          <w:sz w:val="21"/>
          <w:szCs w:val="21"/>
          <w:highlight w:val="none"/>
        </w:rPr>
      </w:pPr>
      <w:r>
        <w:rPr>
          <w:rFonts w:ascii="宋体" w:hAnsi="宋体" w:eastAsia="宋体" w:cs="宋体"/>
          <w:color w:val="auto"/>
          <w:sz w:val="21"/>
          <w:szCs w:val="21"/>
          <w:highlight w:val="none"/>
        </w:rPr>
        <w:t>施工升降机安全监控管理系统费人民币（大写）：</w:t>
      </w:r>
      <w:r>
        <w:rPr>
          <w:rFonts w:ascii="宋体" w:hAnsi="宋体" w:eastAsia="宋体" w:cs="宋体"/>
          <w:color w:val="auto"/>
          <w:sz w:val="21"/>
          <w:szCs w:val="21"/>
          <w:highlight w:val="none"/>
          <w:u w:val="single"/>
        </w:rPr>
        <w:t xml:space="preserve"> </w:t>
      </w:r>
      <w:r>
        <w:rPr>
          <w:rFonts w:ascii="宋体" w:hAnsi="宋体"/>
          <w:color w:val="auto"/>
          <w:sz w:val="21"/>
          <w:szCs w:val="21"/>
          <w:highlight w:val="none"/>
          <w:u w:val="single"/>
        </w:rPr>
        <w:t xml:space="preserve">   </w:t>
      </w:r>
      <w:r>
        <w:rPr>
          <w:rFonts w:ascii="宋体" w:hAnsi="宋体" w:eastAsia="宋体"/>
          <w:color w:val="auto"/>
          <w:sz w:val="21"/>
          <w:szCs w:val="21"/>
          <w:highlight w:val="none"/>
          <w:u w:val="single"/>
        </w:rPr>
        <w:t>元</w:t>
      </w:r>
      <w:r>
        <w:rPr>
          <w:rFonts w:ascii="宋体" w:hAnsi="宋体"/>
          <w:color w:val="auto"/>
          <w:sz w:val="21"/>
          <w:szCs w:val="21"/>
          <w:highlight w:val="none"/>
          <w:u w:val="single"/>
        </w:rPr>
        <w:t xml:space="preserve"> </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，人民币（小写）：</w:t>
      </w:r>
      <w:r>
        <w:rPr>
          <w:rFonts w:ascii="宋体" w:hAnsi="宋体" w:eastAsia="宋体" w:cs="宋体"/>
          <w:color w:val="auto"/>
          <w:sz w:val="21"/>
          <w:szCs w:val="21"/>
          <w:highlight w:val="none"/>
          <w:u w:val="single"/>
        </w:rPr>
        <w:t xml:space="preserve"> </w:t>
      </w:r>
      <w:r>
        <w:rPr>
          <w:rFonts w:ascii="宋体" w:hAnsi="宋体"/>
          <w:color w:val="auto"/>
          <w:sz w:val="21"/>
          <w:szCs w:val="21"/>
          <w:highlight w:val="none"/>
          <w:u w:val="single"/>
        </w:rPr>
        <w:t>0</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元；</w:t>
      </w:r>
    </w:p>
    <w:p w14:paraId="68FB60E4">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赶工措施费人民币（大写）：</w:t>
      </w:r>
      <w:r>
        <w:rPr>
          <w:rFonts w:ascii="宋体" w:hAnsi="宋体" w:eastAsia="宋体" w:cs="宋体"/>
          <w:color w:val="auto"/>
          <w:sz w:val="21"/>
          <w:szCs w:val="21"/>
          <w:highlight w:val="none"/>
          <w:u w:val="single"/>
        </w:rPr>
        <w:t xml:space="preserve"> </w:t>
      </w:r>
      <w:r>
        <w:rPr>
          <w:rFonts w:ascii="宋体" w:hAnsi="宋体"/>
          <w:color w:val="auto"/>
          <w:sz w:val="21"/>
          <w:szCs w:val="21"/>
          <w:highlight w:val="none"/>
          <w:u w:val="single"/>
        </w:rPr>
        <w:t xml:space="preserve">     </w:t>
      </w:r>
      <w:r>
        <w:rPr>
          <w:rFonts w:ascii="宋体" w:hAnsi="宋体" w:eastAsia="宋体"/>
          <w:color w:val="auto"/>
          <w:sz w:val="21"/>
          <w:szCs w:val="21"/>
          <w:highlight w:val="none"/>
          <w:u w:val="single"/>
        </w:rPr>
        <w:t>元</w:t>
      </w:r>
      <w:r>
        <w:rPr>
          <w:rFonts w:ascii="宋体" w:hAnsi="宋体"/>
          <w:color w:val="auto"/>
          <w:sz w:val="21"/>
          <w:szCs w:val="21"/>
          <w:highlight w:val="none"/>
          <w:u w:val="single"/>
        </w:rPr>
        <w:t xml:space="preserve"> </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，人民币（小写）：</w:t>
      </w:r>
      <w:r>
        <w:rPr>
          <w:rFonts w:ascii="宋体" w:hAnsi="宋体" w:eastAsia="宋体" w:cs="宋体"/>
          <w:color w:val="auto"/>
          <w:sz w:val="21"/>
          <w:szCs w:val="21"/>
          <w:highlight w:val="none"/>
          <w:u w:val="single"/>
        </w:rPr>
        <w:t xml:space="preserve"> </w:t>
      </w:r>
      <w:r>
        <w:rPr>
          <w:rFonts w:ascii="宋体" w:hAnsi="宋体"/>
          <w:color w:val="auto"/>
          <w:sz w:val="21"/>
          <w:szCs w:val="21"/>
          <w:highlight w:val="none"/>
          <w:u w:val="single"/>
        </w:rPr>
        <w:t>0</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元；</w:t>
      </w:r>
    </w:p>
    <w:p w14:paraId="792E175E">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额外增加的赶工措施费人民币（大写）：</w:t>
      </w:r>
      <w:r>
        <w:rPr>
          <w:rFonts w:ascii="宋体" w:hAnsi="宋体" w:eastAsia="宋体" w:cs="宋体"/>
          <w:color w:val="auto"/>
          <w:sz w:val="21"/>
          <w:szCs w:val="21"/>
          <w:highlight w:val="none"/>
          <w:u w:val="single"/>
        </w:rPr>
        <w:t xml:space="preserve"> </w:t>
      </w:r>
      <w:r>
        <w:rPr>
          <w:rFonts w:ascii="宋体" w:hAnsi="宋体"/>
          <w:color w:val="auto"/>
          <w:sz w:val="21"/>
          <w:szCs w:val="21"/>
          <w:highlight w:val="none"/>
          <w:u w:val="single"/>
        </w:rPr>
        <w:t xml:space="preserve">  </w:t>
      </w:r>
      <w:r>
        <w:rPr>
          <w:rFonts w:ascii="宋体" w:hAnsi="宋体" w:eastAsia="宋体"/>
          <w:color w:val="auto"/>
          <w:sz w:val="21"/>
          <w:szCs w:val="21"/>
          <w:highlight w:val="none"/>
          <w:u w:val="single"/>
        </w:rPr>
        <w:t>元</w:t>
      </w:r>
      <w:r>
        <w:rPr>
          <w:rFonts w:ascii="宋体" w:hAnsi="宋体"/>
          <w:color w:val="auto"/>
          <w:sz w:val="21"/>
          <w:szCs w:val="21"/>
          <w:highlight w:val="none"/>
          <w:u w:val="single"/>
        </w:rPr>
        <w:t xml:space="preserve"> </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，人民币（小写）：</w:t>
      </w:r>
      <w:r>
        <w:rPr>
          <w:rFonts w:ascii="宋体" w:hAnsi="宋体" w:eastAsia="宋体" w:cs="宋体"/>
          <w:color w:val="auto"/>
          <w:sz w:val="21"/>
          <w:szCs w:val="21"/>
          <w:highlight w:val="none"/>
          <w:u w:val="single"/>
        </w:rPr>
        <w:t xml:space="preserve"> </w:t>
      </w:r>
      <w:r>
        <w:rPr>
          <w:rFonts w:ascii="宋体" w:hAnsi="宋体"/>
          <w:color w:val="auto"/>
          <w:sz w:val="21"/>
          <w:szCs w:val="21"/>
          <w:highlight w:val="none"/>
          <w:u w:val="single"/>
        </w:rPr>
        <w:t>0</w:t>
      </w:r>
      <w:r>
        <w:rPr>
          <w:rFonts w:ascii="宋体" w:hAnsi="宋体" w:eastAsia="宋体" w:cs="宋体"/>
          <w:color w:val="auto"/>
          <w:sz w:val="21"/>
          <w:szCs w:val="21"/>
          <w:highlight w:val="none"/>
          <w:u w:val="single"/>
        </w:rPr>
        <w:t xml:space="preserve"> </w:t>
      </w:r>
      <w:r>
        <w:rPr>
          <w:rFonts w:ascii="宋体" w:hAnsi="宋体" w:eastAsia="宋体" w:cs="宋体"/>
          <w:color w:val="auto"/>
          <w:sz w:val="21"/>
          <w:szCs w:val="21"/>
          <w:highlight w:val="none"/>
        </w:rPr>
        <w:t>元。</w:t>
      </w:r>
    </w:p>
    <w:p w14:paraId="459E859F">
      <w:pPr>
        <w:pStyle w:val="7"/>
        <w:rPr>
          <w:rFonts w:cs="宋体"/>
          <w:sz w:val="21"/>
          <w:szCs w:val="21"/>
          <w:highlight w:val="none"/>
        </w:rPr>
      </w:pPr>
      <w:r>
        <w:rPr>
          <w:rFonts w:hint="eastAsia"/>
          <w:highlight w:val="none"/>
        </w:rPr>
        <w:t>六、组成合同的文件</w:t>
      </w:r>
    </w:p>
    <w:p w14:paraId="778DE0D3">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组成合同的文件及其优先解释顺序与本合同第二部分《通用条款》第2.2款赋予的规定一致。</w:t>
      </w:r>
    </w:p>
    <w:p w14:paraId="17CCA2DA">
      <w:pPr>
        <w:pStyle w:val="7"/>
        <w:rPr>
          <w:rFonts w:cs="宋体"/>
          <w:sz w:val="21"/>
          <w:szCs w:val="21"/>
          <w:highlight w:val="none"/>
        </w:rPr>
      </w:pPr>
      <w:r>
        <w:rPr>
          <w:rFonts w:hint="eastAsia"/>
          <w:highlight w:val="none"/>
        </w:rPr>
        <w:t>七、词语含义</w:t>
      </w:r>
    </w:p>
    <w:p w14:paraId="4E72929F">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本协议书中有关词语含义与本合同第二部分《通用条款》第1条赋予它们的定义相同。</w:t>
      </w:r>
    </w:p>
    <w:p w14:paraId="3C8E9740">
      <w:pPr>
        <w:pStyle w:val="7"/>
        <w:rPr>
          <w:rFonts w:cs="宋体"/>
          <w:sz w:val="21"/>
          <w:szCs w:val="21"/>
          <w:highlight w:val="none"/>
        </w:rPr>
      </w:pPr>
      <w:r>
        <w:rPr>
          <w:rFonts w:hint="eastAsia"/>
          <w:highlight w:val="none"/>
        </w:rPr>
        <w:t>八、承包人承诺</w:t>
      </w:r>
    </w:p>
    <w:p w14:paraId="03C6CE2B">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承包人向发包人承诺已阅读、理解并接受本合同所有条款，按照本合同约定实施、完成并保修合同工程，履行本合同所约定的全部义务。</w:t>
      </w:r>
    </w:p>
    <w:p w14:paraId="7BEBF83A">
      <w:pPr>
        <w:pStyle w:val="7"/>
        <w:rPr>
          <w:rFonts w:cs="宋体"/>
          <w:sz w:val="21"/>
          <w:szCs w:val="21"/>
          <w:highlight w:val="none"/>
        </w:rPr>
      </w:pPr>
      <w:r>
        <w:rPr>
          <w:rFonts w:hint="eastAsia"/>
          <w:highlight w:val="none"/>
        </w:rPr>
        <w:t>九、发包人承诺</w:t>
      </w:r>
    </w:p>
    <w:p w14:paraId="68331BEE">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发包人向承包人承诺已阅读、理解并接受本合同所有条款，按照本合同约定的时限和方法支付工程款及其他应当支付的款项，履行本合同所约定的全部义务。</w:t>
      </w:r>
    </w:p>
    <w:p w14:paraId="3BC8F86A">
      <w:pPr>
        <w:pStyle w:val="62"/>
        <w:spacing w:line="360" w:lineRule="auto"/>
        <w:ind w:firstLine="420" w:firstLineChars="200"/>
        <w:jc w:val="both"/>
        <w:rPr>
          <w:rFonts w:hint="default" w:ascii="宋体" w:hAnsi="宋体" w:eastAsia="宋体" w:cs="宋体"/>
          <w:color w:val="auto"/>
          <w:sz w:val="21"/>
          <w:szCs w:val="21"/>
          <w:highlight w:val="none"/>
        </w:rPr>
      </w:pPr>
    </w:p>
    <w:p w14:paraId="08C14E1C">
      <w:pPr>
        <w:pStyle w:val="7"/>
        <w:rPr>
          <w:rFonts w:cs="宋体"/>
          <w:sz w:val="21"/>
          <w:szCs w:val="21"/>
          <w:highlight w:val="none"/>
        </w:rPr>
      </w:pPr>
      <w:r>
        <w:rPr>
          <w:rFonts w:hint="eastAsia"/>
          <w:highlight w:val="none"/>
        </w:rPr>
        <w:t>十、合同生效</w:t>
      </w:r>
    </w:p>
    <w:p w14:paraId="7E0446A8">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订立合同时间：</w:t>
      </w:r>
    </w:p>
    <w:p w14:paraId="04E121BF">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订立合同地点：</w:t>
      </w:r>
    </w:p>
    <w:p w14:paraId="51D6CD8B">
      <w:pPr>
        <w:pStyle w:val="62"/>
        <w:spacing w:line="360" w:lineRule="auto"/>
        <w:ind w:firstLine="420" w:firstLineChars="200"/>
        <w:jc w:val="both"/>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合同双方当事人约定本合同自双方签字、盖章后，于</w:t>
      </w:r>
      <w:r>
        <w:rPr>
          <w:rFonts w:ascii="宋体" w:hAnsi="宋体" w:eastAsia="宋体" w:cs="宋体"/>
          <w:color w:val="auto"/>
          <w:sz w:val="21"/>
          <w:szCs w:val="21"/>
          <w:highlight w:val="none"/>
          <w:u w:val="single"/>
        </w:rPr>
        <w:t xml:space="preserve">    当日起     </w:t>
      </w:r>
      <w:r>
        <w:rPr>
          <w:rFonts w:ascii="宋体" w:hAnsi="宋体" w:eastAsia="宋体" w:cs="宋体"/>
          <w:color w:val="auto"/>
          <w:sz w:val="21"/>
          <w:szCs w:val="21"/>
          <w:highlight w:val="none"/>
        </w:rPr>
        <w:t xml:space="preserve">生效。 </w:t>
      </w:r>
    </w:p>
    <w:p w14:paraId="59F19E5D">
      <w:pPr>
        <w:spacing w:line="360" w:lineRule="auto"/>
        <w:rPr>
          <w:rFonts w:ascii="宋体" w:hAnsi="宋体"/>
          <w:szCs w:val="21"/>
          <w:highlight w:val="none"/>
        </w:rPr>
      </w:pPr>
    </w:p>
    <w:tbl>
      <w:tblPr>
        <w:tblStyle w:val="22"/>
        <w:tblW w:w="0" w:type="auto"/>
        <w:tblInd w:w="554" w:type="dxa"/>
        <w:tblLayout w:type="fixed"/>
        <w:tblCellMar>
          <w:top w:w="0" w:type="dxa"/>
          <w:left w:w="108" w:type="dxa"/>
          <w:bottom w:w="0" w:type="dxa"/>
          <w:right w:w="108" w:type="dxa"/>
        </w:tblCellMar>
      </w:tblPr>
      <w:tblGrid>
        <w:gridCol w:w="4650"/>
        <w:gridCol w:w="4650"/>
      </w:tblGrid>
      <w:tr w14:paraId="66B5890C">
        <w:tblPrEx>
          <w:tblCellMar>
            <w:top w:w="0" w:type="dxa"/>
            <w:left w:w="108" w:type="dxa"/>
            <w:bottom w:w="0" w:type="dxa"/>
            <w:right w:w="108" w:type="dxa"/>
          </w:tblCellMar>
        </w:tblPrEx>
        <w:tc>
          <w:tcPr>
            <w:tcW w:w="4650" w:type="dxa"/>
          </w:tcPr>
          <w:p w14:paraId="539E4350">
            <w:pPr>
              <w:spacing w:line="360" w:lineRule="auto"/>
              <w:rPr>
                <w:rFonts w:ascii="宋体" w:hAnsi="宋体"/>
                <w:szCs w:val="21"/>
                <w:highlight w:val="none"/>
              </w:rPr>
            </w:pPr>
            <w:r>
              <w:rPr>
                <w:rFonts w:hint="eastAsia" w:ascii="宋体" w:hAnsi="宋体"/>
                <w:szCs w:val="21"/>
                <w:highlight w:val="none"/>
              </w:rPr>
              <w:t>发包人（公章）</w:t>
            </w:r>
          </w:p>
        </w:tc>
        <w:tc>
          <w:tcPr>
            <w:tcW w:w="4650" w:type="dxa"/>
          </w:tcPr>
          <w:p w14:paraId="16036ECF">
            <w:pPr>
              <w:spacing w:line="360" w:lineRule="auto"/>
              <w:rPr>
                <w:rFonts w:ascii="宋体" w:hAnsi="宋体"/>
                <w:szCs w:val="21"/>
                <w:highlight w:val="none"/>
              </w:rPr>
            </w:pPr>
            <w:r>
              <w:rPr>
                <w:rFonts w:hint="eastAsia" w:ascii="宋体" w:hAnsi="宋体"/>
                <w:szCs w:val="21"/>
                <w:highlight w:val="none"/>
              </w:rPr>
              <w:t>承包人（公章）</w:t>
            </w:r>
          </w:p>
        </w:tc>
      </w:tr>
      <w:tr w14:paraId="3214DE68">
        <w:tblPrEx>
          <w:tblCellMar>
            <w:top w:w="0" w:type="dxa"/>
            <w:left w:w="108" w:type="dxa"/>
            <w:bottom w:w="0" w:type="dxa"/>
            <w:right w:w="108" w:type="dxa"/>
          </w:tblCellMar>
        </w:tblPrEx>
        <w:tc>
          <w:tcPr>
            <w:tcW w:w="4650" w:type="dxa"/>
          </w:tcPr>
          <w:p w14:paraId="5809B91A">
            <w:pPr>
              <w:spacing w:line="360" w:lineRule="auto"/>
              <w:rPr>
                <w:rFonts w:ascii="宋体" w:hAnsi="宋体"/>
                <w:szCs w:val="21"/>
                <w:highlight w:val="none"/>
              </w:rPr>
            </w:pPr>
            <w:r>
              <w:rPr>
                <w:rFonts w:hint="eastAsia" w:ascii="宋体" w:hAnsi="宋体"/>
                <w:szCs w:val="21"/>
                <w:highlight w:val="none"/>
              </w:rPr>
              <w:t>地址：</w:t>
            </w:r>
          </w:p>
        </w:tc>
        <w:tc>
          <w:tcPr>
            <w:tcW w:w="4650" w:type="dxa"/>
          </w:tcPr>
          <w:p w14:paraId="65030571">
            <w:pPr>
              <w:spacing w:line="360" w:lineRule="auto"/>
              <w:rPr>
                <w:rFonts w:ascii="宋体" w:hAnsi="宋体"/>
                <w:szCs w:val="21"/>
                <w:highlight w:val="none"/>
              </w:rPr>
            </w:pPr>
            <w:r>
              <w:rPr>
                <w:rFonts w:hint="eastAsia" w:ascii="宋体" w:hAnsi="宋体"/>
                <w:szCs w:val="21"/>
                <w:highlight w:val="none"/>
              </w:rPr>
              <w:t>地址：</w:t>
            </w:r>
          </w:p>
        </w:tc>
      </w:tr>
      <w:tr w14:paraId="3ED920D7">
        <w:tblPrEx>
          <w:tblCellMar>
            <w:top w:w="0" w:type="dxa"/>
            <w:left w:w="108" w:type="dxa"/>
            <w:bottom w:w="0" w:type="dxa"/>
            <w:right w:w="108" w:type="dxa"/>
          </w:tblCellMar>
        </w:tblPrEx>
        <w:tc>
          <w:tcPr>
            <w:tcW w:w="4650" w:type="dxa"/>
          </w:tcPr>
          <w:p w14:paraId="7D99A25E">
            <w:pPr>
              <w:spacing w:line="360" w:lineRule="auto"/>
              <w:rPr>
                <w:rFonts w:hint="eastAsia" w:ascii="宋体" w:hAnsi="宋体"/>
                <w:szCs w:val="21"/>
                <w:highlight w:val="none"/>
              </w:rPr>
            </w:pPr>
            <w:r>
              <w:rPr>
                <w:rFonts w:hint="eastAsia" w:ascii="宋体" w:hAnsi="宋体"/>
                <w:szCs w:val="21"/>
                <w:highlight w:val="none"/>
              </w:rPr>
              <w:t>法定代表人：</w:t>
            </w:r>
          </w:p>
          <w:p w14:paraId="5CF016A5">
            <w:pPr>
              <w:spacing w:line="360" w:lineRule="auto"/>
              <w:rPr>
                <w:rFonts w:ascii="宋体" w:hAnsi="宋体"/>
                <w:szCs w:val="21"/>
                <w:highlight w:val="none"/>
              </w:rPr>
            </w:pPr>
            <w:r>
              <w:rPr>
                <w:rFonts w:hint="eastAsia"/>
                <w:color w:val="000000"/>
                <w:highlight w:val="none"/>
              </w:rPr>
              <w:t>或授权代理人：</w:t>
            </w:r>
          </w:p>
        </w:tc>
        <w:tc>
          <w:tcPr>
            <w:tcW w:w="4650" w:type="dxa"/>
          </w:tcPr>
          <w:p w14:paraId="089A1A3D">
            <w:pPr>
              <w:spacing w:line="360" w:lineRule="auto"/>
              <w:rPr>
                <w:rFonts w:hint="eastAsia" w:ascii="宋体" w:hAnsi="宋体"/>
                <w:szCs w:val="21"/>
                <w:highlight w:val="none"/>
              </w:rPr>
            </w:pPr>
            <w:r>
              <w:rPr>
                <w:rFonts w:hint="eastAsia" w:ascii="宋体" w:hAnsi="宋体"/>
                <w:szCs w:val="21"/>
                <w:highlight w:val="none"/>
              </w:rPr>
              <w:t>法定代表人：</w:t>
            </w:r>
          </w:p>
          <w:p w14:paraId="2D02A6DD">
            <w:pPr>
              <w:spacing w:line="360" w:lineRule="auto"/>
              <w:rPr>
                <w:rFonts w:ascii="宋体" w:hAnsi="宋体"/>
                <w:szCs w:val="21"/>
                <w:highlight w:val="none"/>
              </w:rPr>
            </w:pPr>
            <w:r>
              <w:rPr>
                <w:rFonts w:hint="eastAsia"/>
                <w:color w:val="000000"/>
                <w:highlight w:val="none"/>
              </w:rPr>
              <w:t>或授权代理人：</w:t>
            </w:r>
          </w:p>
        </w:tc>
      </w:tr>
      <w:tr w14:paraId="0D90DD4F">
        <w:tblPrEx>
          <w:tblCellMar>
            <w:top w:w="0" w:type="dxa"/>
            <w:left w:w="108" w:type="dxa"/>
            <w:bottom w:w="0" w:type="dxa"/>
            <w:right w:w="108" w:type="dxa"/>
          </w:tblCellMar>
        </w:tblPrEx>
        <w:tc>
          <w:tcPr>
            <w:tcW w:w="4650" w:type="dxa"/>
          </w:tcPr>
          <w:p w14:paraId="7816CA1C">
            <w:pPr>
              <w:spacing w:line="360" w:lineRule="auto"/>
              <w:rPr>
                <w:rFonts w:ascii="宋体" w:hAnsi="宋体"/>
                <w:szCs w:val="21"/>
                <w:highlight w:val="none"/>
              </w:rPr>
            </w:pPr>
            <w:r>
              <w:rPr>
                <w:rFonts w:hint="eastAsia" w:ascii="宋体" w:hAnsi="宋体"/>
                <w:szCs w:val="21"/>
                <w:highlight w:val="none"/>
              </w:rPr>
              <w:t>电话：</w:t>
            </w:r>
          </w:p>
        </w:tc>
        <w:tc>
          <w:tcPr>
            <w:tcW w:w="4650" w:type="dxa"/>
          </w:tcPr>
          <w:p w14:paraId="11E474FF">
            <w:pPr>
              <w:spacing w:line="360" w:lineRule="auto"/>
              <w:rPr>
                <w:rFonts w:ascii="宋体" w:hAnsi="宋体"/>
                <w:szCs w:val="21"/>
                <w:highlight w:val="none"/>
              </w:rPr>
            </w:pPr>
            <w:r>
              <w:rPr>
                <w:rFonts w:hint="eastAsia" w:ascii="宋体" w:hAnsi="宋体"/>
                <w:szCs w:val="21"/>
                <w:highlight w:val="none"/>
              </w:rPr>
              <w:t>电话：</w:t>
            </w:r>
          </w:p>
        </w:tc>
      </w:tr>
      <w:tr w14:paraId="693C574F">
        <w:tblPrEx>
          <w:tblCellMar>
            <w:top w:w="0" w:type="dxa"/>
            <w:left w:w="108" w:type="dxa"/>
            <w:bottom w:w="0" w:type="dxa"/>
            <w:right w:w="108" w:type="dxa"/>
          </w:tblCellMar>
        </w:tblPrEx>
        <w:tc>
          <w:tcPr>
            <w:tcW w:w="4650" w:type="dxa"/>
          </w:tcPr>
          <w:p w14:paraId="0B22B2C6">
            <w:pPr>
              <w:spacing w:line="360" w:lineRule="auto"/>
              <w:rPr>
                <w:rFonts w:ascii="宋体" w:hAnsi="宋体"/>
                <w:szCs w:val="21"/>
                <w:highlight w:val="none"/>
              </w:rPr>
            </w:pPr>
            <w:r>
              <w:rPr>
                <w:rFonts w:hint="eastAsia" w:ascii="宋体" w:hAnsi="宋体"/>
                <w:szCs w:val="21"/>
                <w:highlight w:val="none"/>
              </w:rPr>
              <w:t>开户名称：</w:t>
            </w:r>
          </w:p>
        </w:tc>
        <w:tc>
          <w:tcPr>
            <w:tcW w:w="4650" w:type="dxa"/>
          </w:tcPr>
          <w:p w14:paraId="5FB02D22">
            <w:pPr>
              <w:spacing w:line="360" w:lineRule="auto"/>
              <w:rPr>
                <w:rFonts w:ascii="宋体" w:hAnsi="宋体"/>
                <w:szCs w:val="21"/>
                <w:highlight w:val="none"/>
              </w:rPr>
            </w:pPr>
            <w:r>
              <w:rPr>
                <w:rFonts w:hint="eastAsia" w:ascii="宋体" w:hAnsi="宋体"/>
                <w:szCs w:val="21"/>
                <w:highlight w:val="none"/>
              </w:rPr>
              <w:t>开户名称：</w:t>
            </w:r>
          </w:p>
        </w:tc>
      </w:tr>
      <w:tr w14:paraId="31184673">
        <w:tblPrEx>
          <w:tblCellMar>
            <w:top w:w="0" w:type="dxa"/>
            <w:left w:w="108" w:type="dxa"/>
            <w:bottom w:w="0" w:type="dxa"/>
            <w:right w:w="108" w:type="dxa"/>
          </w:tblCellMar>
        </w:tblPrEx>
        <w:tc>
          <w:tcPr>
            <w:tcW w:w="4650" w:type="dxa"/>
          </w:tcPr>
          <w:p w14:paraId="4B03CB93">
            <w:pPr>
              <w:spacing w:line="360" w:lineRule="auto"/>
              <w:rPr>
                <w:rFonts w:ascii="宋体" w:hAnsi="宋体"/>
                <w:szCs w:val="21"/>
                <w:highlight w:val="none"/>
              </w:rPr>
            </w:pPr>
            <w:r>
              <w:rPr>
                <w:rFonts w:hint="eastAsia" w:ascii="宋体" w:hAnsi="宋体"/>
                <w:szCs w:val="21"/>
                <w:highlight w:val="none"/>
              </w:rPr>
              <w:t>开户银行：</w:t>
            </w:r>
          </w:p>
        </w:tc>
        <w:tc>
          <w:tcPr>
            <w:tcW w:w="4650" w:type="dxa"/>
          </w:tcPr>
          <w:p w14:paraId="29F1B7A6">
            <w:pPr>
              <w:spacing w:line="360" w:lineRule="auto"/>
              <w:rPr>
                <w:rFonts w:ascii="宋体" w:hAnsi="宋体"/>
                <w:szCs w:val="21"/>
                <w:highlight w:val="none"/>
              </w:rPr>
            </w:pPr>
            <w:r>
              <w:rPr>
                <w:rFonts w:hint="eastAsia" w:ascii="宋体" w:hAnsi="宋体"/>
                <w:szCs w:val="21"/>
                <w:highlight w:val="none"/>
              </w:rPr>
              <w:t>开户银行：</w:t>
            </w:r>
          </w:p>
        </w:tc>
      </w:tr>
      <w:tr w14:paraId="6D7366ED">
        <w:tblPrEx>
          <w:tblCellMar>
            <w:top w:w="0" w:type="dxa"/>
            <w:left w:w="108" w:type="dxa"/>
            <w:bottom w:w="0" w:type="dxa"/>
            <w:right w:w="108" w:type="dxa"/>
          </w:tblCellMar>
        </w:tblPrEx>
        <w:tc>
          <w:tcPr>
            <w:tcW w:w="4650" w:type="dxa"/>
          </w:tcPr>
          <w:p w14:paraId="4F083C58">
            <w:pPr>
              <w:spacing w:line="360" w:lineRule="auto"/>
              <w:rPr>
                <w:rFonts w:ascii="宋体" w:hAnsi="宋体"/>
                <w:szCs w:val="21"/>
                <w:highlight w:val="none"/>
              </w:rPr>
            </w:pPr>
            <w:r>
              <w:rPr>
                <w:rFonts w:hint="eastAsia" w:ascii="宋体" w:hAnsi="宋体"/>
                <w:szCs w:val="21"/>
                <w:highlight w:val="none"/>
              </w:rPr>
              <w:t>帐号：</w:t>
            </w:r>
          </w:p>
        </w:tc>
        <w:tc>
          <w:tcPr>
            <w:tcW w:w="4650" w:type="dxa"/>
          </w:tcPr>
          <w:p w14:paraId="03B60D1B">
            <w:pPr>
              <w:spacing w:line="360" w:lineRule="auto"/>
              <w:rPr>
                <w:rFonts w:ascii="宋体" w:hAnsi="宋体"/>
                <w:szCs w:val="21"/>
                <w:highlight w:val="none"/>
              </w:rPr>
            </w:pPr>
            <w:r>
              <w:rPr>
                <w:rFonts w:hint="eastAsia" w:ascii="宋体" w:hAnsi="宋体"/>
                <w:szCs w:val="21"/>
                <w:highlight w:val="none"/>
              </w:rPr>
              <w:t>帐号：</w:t>
            </w:r>
          </w:p>
        </w:tc>
      </w:tr>
      <w:tr w14:paraId="63E03ADC">
        <w:tblPrEx>
          <w:tblCellMar>
            <w:top w:w="0" w:type="dxa"/>
            <w:left w:w="108" w:type="dxa"/>
            <w:bottom w:w="0" w:type="dxa"/>
            <w:right w:w="108" w:type="dxa"/>
          </w:tblCellMar>
        </w:tblPrEx>
        <w:tc>
          <w:tcPr>
            <w:tcW w:w="4650" w:type="dxa"/>
          </w:tcPr>
          <w:p w14:paraId="1355B663">
            <w:pPr>
              <w:spacing w:line="360" w:lineRule="auto"/>
              <w:rPr>
                <w:rFonts w:ascii="宋体" w:hAnsi="宋体"/>
                <w:szCs w:val="21"/>
                <w:highlight w:val="none"/>
              </w:rPr>
            </w:pPr>
            <w:r>
              <w:rPr>
                <w:rFonts w:hint="eastAsia" w:ascii="宋体" w:hAnsi="宋体"/>
                <w:szCs w:val="21"/>
                <w:highlight w:val="none"/>
              </w:rPr>
              <w:t>邮政编码：</w:t>
            </w:r>
          </w:p>
        </w:tc>
        <w:tc>
          <w:tcPr>
            <w:tcW w:w="4650" w:type="dxa"/>
          </w:tcPr>
          <w:p w14:paraId="510C4807">
            <w:pPr>
              <w:spacing w:line="360" w:lineRule="auto"/>
              <w:rPr>
                <w:rFonts w:ascii="宋体" w:hAnsi="宋体"/>
                <w:szCs w:val="21"/>
                <w:highlight w:val="none"/>
              </w:rPr>
            </w:pPr>
            <w:r>
              <w:rPr>
                <w:rFonts w:hint="eastAsia" w:ascii="宋体" w:hAnsi="宋体"/>
                <w:szCs w:val="21"/>
                <w:highlight w:val="none"/>
              </w:rPr>
              <w:t>邮政编码：</w:t>
            </w:r>
          </w:p>
        </w:tc>
      </w:tr>
    </w:tbl>
    <w:p w14:paraId="5F861D07">
      <w:pPr>
        <w:spacing w:line="360" w:lineRule="auto"/>
        <w:rPr>
          <w:rFonts w:ascii="宋体" w:hAnsi="宋体"/>
          <w:szCs w:val="21"/>
          <w:highlight w:val="none"/>
        </w:rPr>
      </w:pPr>
    </w:p>
    <w:p w14:paraId="0DDC4F38">
      <w:pPr>
        <w:pStyle w:val="4"/>
        <w:jc w:val="center"/>
        <w:rPr>
          <w:highlight w:val="none"/>
        </w:rPr>
      </w:pPr>
      <w:r>
        <w:rPr>
          <w:szCs w:val="21"/>
          <w:highlight w:val="none"/>
        </w:rPr>
        <w:br w:type="page"/>
      </w:r>
      <w:bookmarkStart w:id="121" w:name="_Toc282943453"/>
      <w:bookmarkStart w:id="122" w:name="_Toc22572"/>
      <w:bookmarkStart w:id="123" w:name="_Toc44236084"/>
      <w:bookmarkStart w:id="124" w:name="_Toc44235685"/>
      <w:bookmarkStart w:id="125" w:name="_Toc44236275"/>
      <w:bookmarkStart w:id="126" w:name="_Toc68598554"/>
      <w:bookmarkStart w:id="127" w:name="_Toc512609915"/>
      <w:r>
        <w:rPr>
          <w:rFonts w:hint="eastAsia"/>
          <w:highlight w:val="none"/>
        </w:rPr>
        <w:t>第二部分 合同通用条款</w:t>
      </w:r>
      <w:bookmarkEnd w:id="121"/>
      <w:bookmarkEnd w:id="122"/>
      <w:bookmarkEnd w:id="123"/>
      <w:bookmarkEnd w:id="124"/>
      <w:bookmarkEnd w:id="125"/>
      <w:bookmarkEnd w:id="126"/>
      <w:bookmarkEnd w:id="127"/>
    </w:p>
    <w:p w14:paraId="780120A0">
      <w:pPr>
        <w:spacing w:line="360" w:lineRule="auto"/>
        <w:ind w:firstLine="420" w:firstLineChars="200"/>
        <w:jc w:val="left"/>
        <w:rPr>
          <w:rFonts w:ascii="宋体" w:hAnsi="宋体"/>
          <w:szCs w:val="21"/>
          <w:highlight w:val="none"/>
        </w:rPr>
      </w:pPr>
      <w:r>
        <w:rPr>
          <w:rFonts w:hint="eastAsia" w:ascii="宋体" w:hAnsi="宋体"/>
          <w:szCs w:val="21"/>
          <w:highlight w:val="none"/>
        </w:rPr>
        <w:t>本工程合同通用条款使用《广东省建设工程标准施工合同2009年版》中的第二部分“通用条款”，由投标人自行购买。</w:t>
      </w:r>
    </w:p>
    <w:p w14:paraId="58BFB11F">
      <w:pPr>
        <w:pStyle w:val="4"/>
        <w:spacing w:before="0" w:after="0"/>
        <w:jc w:val="center"/>
        <w:rPr>
          <w:highlight w:val="none"/>
        </w:rPr>
      </w:pPr>
      <w:r>
        <w:rPr>
          <w:szCs w:val="21"/>
          <w:highlight w:val="none"/>
        </w:rPr>
        <w:br w:type="page"/>
      </w:r>
      <w:bookmarkStart w:id="128" w:name="_Toc44236276"/>
      <w:bookmarkStart w:id="129" w:name="_Toc15728"/>
      <w:bookmarkStart w:id="130" w:name="_Toc68598555"/>
      <w:bookmarkStart w:id="131" w:name="_Toc44236085"/>
      <w:bookmarkStart w:id="132" w:name="_Toc44235686"/>
      <w:r>
        <w:rPr>
          <w:rFonts w:hint="eastAsia"/>
          <w:highlight w:val="none"/>
        </w:rPr>
        <w:t>第三部分 合同专用条款</w:t>
      </w:r>
      <w:bookmarkEnd w:id="128"/>
      <w:bookmarkEnd w:id="129"/>
      <w:bookmarkEnd w:id="130"/>
      <w:bookmarkEnd w:id="131"/>
      <w:bookmarkEnd w:id="132"/>
    </w:p>
    <w:p w14:paraId="26BA4C5C">
      <w:pPr>
        <w:rPr>
          <w:highlight w:val="none"/>
        </w:rPr>
      </w:pPr>
    </w:p>
    <w:p w14:paraId="168BE684">
      <w:pPr>
        <w:pStyle w:val="6"/>
        <w:rPr>
          <w:szCs w:val="21"/>
          <w:highlight w:val="none"/>
        </w:rPr>
      </w:pPr>
      <w:bookmarkStart w:id="133" w:name="_Toc461980423"/>
      <w:bookmarkStart w:id="134" w:name="_Toc273290650"/>
      <w:bookmarkStart w:id="135" w:name="_Toc254775502"/>
      <w:bookmarkStart w:id="136" w:name="_Toc23037"/>
      <w:bookmarkStart w:id="137" w:name="_Toc271290628"/>
      <w:bookmarkStart w:id="138" w:name="_Toc520715086"/>
      <w:r>
        <w:rPr>
          <w:rFonts w:hint="eastAsia"/>
          <w:szCs w:val="21"/>
          <w:highlight w:val="none"/>
        </w:rPr>
        <w:t>1、定义</w:t>
      </w:r>
      <w:bookmarkEnd w:id="133"/>
      <w:bookmarkEnd w:id="134"/>
      <w:bookmarkEnd w:id="135"/>
      <w:bookmarkEnd w:id="136"/>
      <w:bookmarkEnd w:id="137"/>
      <w:bookmarkEnd w:id="138"/>
    </w:p>
    <w:p w14:paraId="5853146A">
      <w:pPr>
        <w:spacing w:line="360" w:lineRule="auto"/>
        <w:ind w:firstLine="420" w:firstLineChars="200"/>
        <w:rPr>
          <w:rFonts w:ascii="宋体" w:hAnsi="宋体"/>
          <w:szCs w:val="21"/>
          <w:highlight w:val="none"/>
        </w:rPr>
      </w:pPr>
      <w:r>
        <w:rPr>
          <w:rFonts w:hint="eastAsia" w:ascii="宋体" w:hAnsi="宋体"/>
          <w:szCs w:val="21"/>
          <w:highlight w:val="none"/>
        </w:rPr>
        <w:t>1.53  所采用的书面形式包括：</w:t>
      </w:r>
    </w:p>
    <w:p w14:paraId="6A5A7159">
      <w:pPr>
        <w:spacing w:line="360" w:lineRule="auto"/>
        <w:ind w:firstLine="420" w:firstLineChars="200"/>
        <w:rPr>
          <w:rFonts w:ascii="宋体" w:hAnsi="宋体"/>
          <w:szCs w:val="21"/>
          <w:highlight w:val="none"/>
        </w:rPr>
      </w:pPr>
      <w:r>
        <w:rPr>
          <w:rFonts w:hint="eastAsia" w:ascii="宋体" w:hAnsi="宋体"/>
          <w:szCs w:val="21"/>
          <w:highlight w:val="none"/>
        </w:rPr>
        <w:t>■  文书</w:t>
      </w:r>
    </w:p>
    <w:p w14:paraId="2B593A09">
      <w:pPr>
        <w:spacing w:line="360" w:lineRule="auto"/>
        <w:ind w:firstLine="420" w:firstLineChars="200"/>
        <w:rPr>
          <w:rFonts w:ascii="宋体" w:hAnsi="宋体"/>
          <w:szCs w:val="21"/>
          <w:highlight w:val="none"/>
        </w:rPr>
      </w:pPr>
      <w:r>
        <w:rPr>
          <w:rFonts w:hint="eastAsia" w:ascii="宋体" w:hAnsi="宋体"/>
          <w:szCs w:val="21"/>
          <w:highlight w:val="none"/>
        </w:rPr>
        <w:t>■  信件</w:t>
      </w:r>
    </w:p>
    <w:p w14:paraId="2A55013D">
      <w:pPr>
        <w:spacing w:line="360" w:lineRule="auto"/>
        <w:ind w:firstLine="420" w:firstLineChars="200"/>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电报</w:t>
      </w:r>
    </w:p>
    <w:p w14:paraId="1A6FC7A1">
      <w:pPr>
        <w:spacing w:line="360" w:lineRule="auto"/>
        <w:ind w:firstLine="420" w:firstLineChars="200"/>
        <w:rPr>
          <w:rFonts w:ascii="宋体" w:hAnsi="宋体"/>
          <w:szCs w:val="21"/>
          <w:highlight w:val="none"/>
        </w:rPr>
      </w:pPr>
      <w:r>
        <w:rPr>
          <w:rFonts w:hint="eastAsia" w:ascii="宋体" w:hAnsi="宋体"/>
          <w:szCs w:val="21"/>
          <w:highlight w:val="none"/>
        </w:rPr>
        <w:t>■  传真</w:t>
      </w:r>
    </w:p>
    <w:p w14:paraId="6DE7C226">
      <w:pPr>
        <w:spacing w:line="360" w:lineRule="auto"/>
        <w:ind w:firstLine="420" w:firstLineChars="200"/>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电子邮件</w:t>
      </w:r>
    </w:p>
    <w:p w14:paraId="748A0647">
      <w:pPr>
        <w:spacing w:line="360" w:lineRule="auto"/>
        <w:ind w:firstLine="420" w:firstLineChars="200"/>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其他：</w:t>
      </w:r>
    </w:p>
    <w:p w14:paraId="5D7CBF0C">
      <w:pPr>
        <w:spacing w:line="360" w:lineRule="auto"/>
        <w:ind w:firstLine="420" w:firstLineChars="200"/>
        <w:rPr>
          <w:rFonts w:ascii="宋体" w:hAnsi="宋体"/>
          <w:szCs w:val="21"/>
          <w:highlight w:val="none"/>
        </w:rPr>
      </w:pPr>
      <w:r>
        <w:rPr>
          <w:rFonts w:hint="eastAsia" w:ascii="宋体" w:hAnsi="宋体"/>
          <w:szCs w:val="21"/>
          <w:highlight w:val="none"/>
        </w:rPr>
        <w:t>1.55  中标下浮率</w:t>
      </w:r>
    </w:p>
    <w:p w14:paraId="3E9031B2">
      <w:pPr>
        <w:spacing w:line="360" w:lineRule="auto"/>
        <w:ind w:firstLine="420" w:firstLineChars="200"/>
        <w:rPr>
          <w:rFonts w:ascii="宋体" w:hAnsi="宋体"/>
          <w:szCs w:val="21"/>
          <w:highlight w:val="none"/>
        </w:rPr>
      </w:pPr>
      <w:r>
        <w:rPr>
          <w:rFonts w:hint="eastAsia" w:ascii="宋体" w:hAnsi="宋体"/>
          <w:bCs/>
          <w:szCs w:val="21"/>
          <w:highlight w:val="none"/>
        </w:rPr>
        <w:t>中标下浮率</w:t>
      </w:r>
      <w:r>
        <w:rPr>
          <w:rFonts w:hint="eastAsia" w:ascii="宋体" w:hAnsi="宋体"/>
          <w:szCs w:val="21"/>
          <w:highlight w:val="none"/>
        </w:rPr>
        <w:t>=（1－中标价÷经审核的最高报价值）×100%=</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u w:val="single"/>
        </w:rPr>
        <w:t xml:space="preserve"> </w:t>
      </w:r>
      <w:r>
        <w:rPr>
          <w:rFonts w:hint="eastAsia" w:ascii="宋体" w:hAnsi="宋体" w:cs="宋体"/>
          <w:szCs w:val="21"/>
          <w:highlight w:val="none"/>
          <w:lang w:bidi="th-TH"/>
        </w:rPr>
        <w:t>，中标价和经审核的最高报价值均</w:t>
      </w:r>
      <w:r>
        <w:rPr>
          <w:rFonts w:hint="eastAsia" w:ascii="宋体" w:hAnsi="宋体"/>
          <w:spacing w:val="6"/>
          <w:szCs w:val="21"/>
          <w:highlight w:val="none"/>
        </w:rPr>
        <w:t>不含单列部分的</w:t>
      </w:r>
      <w:r>
        <w:rPr>
          <w:rFonts w:hint="eastAsia" w:ascii="宋体" w:hAnsi="宋体"/>
          <w:szCs w:val="21"/>
          <w:highlight w:val="none"/>
        </w:rPr>
        <w:t>安全防护、文明施工措施费。</w:t>
      </w:r>
    </w:p>
    <w:p w14:paraId="4CBC46E9">
      <w:pPr>
        <w:spacing w:line="360" w:lineRule="auto"/>
        <w:ind w:firstLine="420" w:firstLineChars="200"/>
        <w:rPr>
          <w:rFonts w:ascii="宋体" w:hAnsi="宋体"/>
          <w:szCs w:val="21"/>
          <w:highlight w:val="none"/>
        </w:rPr>
      </w:pPr>
      <w:r>
        <w:rPr>
          <w:rFonts w:hint="eastAsia" w:ascii="宋体" w:hAnsi="宋体"/>
          <w:szCs w:val="21"/>
          <w:highlight w:val="none"/>
        </w:rPr>
        <w:t xml:space="preserve">1.56 本合同中提及的“招标控制价”即招标文件中约定的最高报价值及其相应的内容。 </w:t>
      </w:r>
    </w:p>
    <w:p w14:paraId="529BBA32">
      <w:pPr>
        <w:spacing w:line="360" w:lineRule="auto"/>
        <w:ind w:firstLine="420" w:firstLineChars="200"/>
        <w:rPr>
          <w:rFonts w:ascii="宋体" w:hAnsi="宋体"/>
          <w:szCs w:val="21"/>
          <w:highlight w:val="none"/>
        </w:rPr>
      </w:pPr>
      <w:r>
        <w:rPr>
          <w:rFonts w:hint="eastAsia" w:ascii="宋体" w:hAnsi="宋体"/>
          <w:szCs w:val="21"/>
          <w:highlight w:val="none"/>
        </w:rPr>
        <w:t>1.57 本合同中提及的“安全文明施工费”即招标文件中提及的“安全生产、文明施工措施费”</w:t>
      </w:r>
    </w:p>
    <w:p w14:paraId="4BD1D3D9">
      <w:pPr>
        <w:pStyle w:val="6"/>
        <w:rPr>
          <w:szCs w:val="21"/>
          <w:highlight w:val="none"/>
        </w:rPr>
      </w:pPr>
      <w:bookmarkStart w:id="139" w:name="_Toc520715087"/>
      <w:bookmarkStart w:id="140" w:name="_Toc271290629"/>
      <w:bookmarkStart w:id="141" w:name="_Toc461980424"/>
      <w:bookmarkStart w:id="142" w:name="_Toc273290651"/>
      <w:bookmarkStart w:id="143" w:name="_Toc29944"/>
      <w:bookmarkStart w:id="144" w:name="_Toc254775503"/>
      <w:r>
        <w:rPr>
          <w:rFonts w:hint="eastAsia"/>
          <w:szCs w:val="21"/>
          <w:highlight w:val="none"/>
        </w:rPr>
        <w:t>2、合同文件及解释</w:t>
      </w:r>
      <w:bookmarkEnd w:id="139"/>
      <w:bookmarkEnd w:id="140"/>
      <w:bookmarkEnd w:id="141"/>
      <w:bookmarkEnd w:id="142"/>
      <w:bookmarkEnd w:id="143"/>
      <w:bookmarkEnd w:id="144"/>
    </w:p>
    <w:p w14:paraId="32D531B8">
      <w:pPr>
        <w:spacing w:line="360" w:lineRule="auto"/>
        <w:ind w:firstLine="420" w:firstLineChars="200"/>
        <w:rPr>
          <w:rFonts w:ascii="宋体" w:hAnsi="宋体"/>
          <w:szCs w:val="21"/>
          <w:highlight w:val="none"/>
        </w:rPr>
      </w:pPr>
      <w:r>
        <w:rPr>
          <w:rFonts w:hint="eastAsia" w:ascii="宋体" w:hAnsi="宋体"/>
          <w:szCs w:val="21"/>
          <w:highlight w:val="none"/>
        </w:rPr>
        <w:t>2.2 合同文件组成及优先顺序</w:t>
      </w:r>
    </w:p>
    <w:p w14:paraId="6A3C34E6">
      <w:pPr>
        <w:spacing w:line="360" w:lineRule="auto"/>
        <w:ind w:firstLine="420" w:firstLineChars="200"/>
        <w:rPr>
          <w:rFonts w:ascii="宋体" w:hAnsi="宋体"/>
          <w:szCs w:val="21"/>
          <w:highlight w:val="none"/>
        </w:rPr>
      </w:pPr>
      <w:r>
        <w:rPr>
          <w:rFonts w:hint="eastAsia" w:ascii="宋体" w:hAnsi="宋体"/>
          <w:szCs w:val="21"/>
          <w:highlight w:val="none"/>
        </w:rPr>
        <w:t>本款更改为：</w:t>
      </w:r>
    </w:p>
    <w:p w14:paraId="58646AF5">
      <w:pPr>
        <w:pStyle w:val="12"/>
        <w:tabs>
          <w:tab w:val="left" w:pos="1320"/>
        </w:tabs>
        <w:spacing w:line="360" w:lineRule="auto"/>
        <w:ind w:firstLine="422" w:firstLineChars="200"/>
        <w:rPr>
          <w:rFonts w:hAnsi="宋体"/>
          <w:b/>
          <w:szCs w:val="21"/>
          <w:highlight w:val="none"/>
        </w:rPr>
      </w:pPr>
      <w:r>
        <w:rPr>
          <w:rFonts w:hint="eastAsia" w:hAnsi="宋体"/>
          <w:b/>
          <w:szCs w:val="21"/>
          <w:highlight w:val="none"/>
        </w:rPr>
        <w:t>下列组成本合同的文件是一个合同整体，彼此应能相互解释，互为说明。当出现相互矛盾时，组成本合同文件的优先解释顺序如下：</w:t>
      </w:r>
    </w:p>
    <w:p w14:paraId="0097437B">
      <w:pPr>
        <w:pStyle w:val="12"/>
        <w:spacing w:line="360" w:lineRule="auto"/>
        <w:ind w:firstLine="422" w:firstLineChars="200"/>
        <w:rPr>
          <w:rFonts w:hAnsi="宋体"/>
          <w:b/>
          <w:szCs w:val="21"/>
          <w:highlight w:val="none"/>
        </w:rPr>
      </w:pPr>
      <w:r>
        <w:rPr>
          <w:rFonts w:hAnsi="宋体"/>
          <w:b/>
          <w:szCs w:val="21"/>
          <w:highlight w:val="none"/>
        </w:rPr>
        <w:t xml:space="preserve">(1) </w:t>
      </w:r>
      <w:r>
        <w:rPr>
          <w:rFonts w:hint="eastAsia" w:hAnsi="宋体"/>
          <w:b/>
          <w:szCs w:val="21"/>
          <w:highlight w:val="none"/>
        </w:rPr>
        <w:t>协议书；</w:t>
      </w:r>
    </w:p>
    <w:p w14:paraId="48E974E9">
      <w:pPr>
        <w:pStyle w:val="12"/>
        <w:spacing w:line="360" w:lineRule="auto"/>
        <w:ind w:firstLine="422" w:firstLineChars="200"/>
        <w:rPr>
          <w:rFonts w:hAnsi="宋体"/>
          <w:b/>
          <w:szCs w:val="21"/>
          <w:highlight w:val="none"/>
        </w:rPr>
      </w:pPr>
      <w:r>
        <w:rPr>
          <w:rFonts w:hAnsi="宋体"/>
          <w:b/>
          <w:szCs w:val="21"/>
          <w:highlight w:val="none"/>
        </w:rPr>
        <w:t xml:space="preserve">(2) </w:t>
      </w:r>
      <w:r>
        <w:rPr>
          <w:rFonts w:hint="eastAsia" w:hAnsi="宋体"/>
          <w:b/>
          <w:szCs w:val="21"/>
          <w:highlight w:val="none"/>
        </w:rPr>
        <w:t>履行本合同的相关补充协议（含会议纪要、工程变更、签证等修正文件）；</w:t>
      </w:r>
    </w:p>
    <w:p w14:paraId="5D1620B1">
      <w:pPr>
        <w:pStyle w:val="12"/>
        <w:spacing w:line="360" w:lineRule="auto"/>
        <w:ind w:firstLine="422" w:firstLineChars="200"/>
        <w:rPr>
          <w:rFonts w:hAnsi="宋体"/>
          <w:b/>
          <w:szCs w:val="21"/>
          <w:highlight w:val="none"/>
        </w:rPr>
      </w:pPr>
      <w:r>
        <w:rPr>
          <w:rFonts w:hAnsi="宋体"/>
          <w:b/>
          <w:szCs w:val="21"/>
          <w:highlight w:val="none"/>
        </w:rPr>
        <w:t xml:space="preserve">(3) </w:t>
      </w:r>
      <w:r>
        <w:rPr>
          <w:rFonts w:hint="eastAsia" w:hAnsi="宋体"/>
          <w:b/>
          <w:szCs w:val="21"/>
          <w:highlight w:val="none"/>
        </w:rPr>
        <w:t>中标通知书</w:t>
      </w:r>
    </w:p>
    <w:p w14:paraId="29858566">
      <w:pPr>
        <w:pStyle w:val="12"/>
        <w:spacing w:line="360" w:lineRule="auto"/>
        <w:ind w:firstLine="422" w:firstLineChars="200"/>
        <w:rPr>
          <w:rFonts w:hAnsi="宋体"/>
          <w:b/>
          <w:szCs w:val="21"/>
          <w:highlight w:val="none"/>
        </w:rPr>
      </w:pPr>
      <w:r>
        <w:rPr>
          <w:rFonts w:hAnsi="宋体"/>
          <w:b/>
          <w:szCs w:val="21"/>
          <w:highlight w:val="none"/>
        </w:rPr>
        <w:t xml:space="preserve">(4) </w:t>
      </w:r>
      <w:r>
        <w:rPr>
          <w:rFonts w:hint="eastAsia" w:hAnsi="宋体"/>
          <w:b/>
          <w:szCs w:val="21"/>
          <w:highlight w:val="none"/>
        </w:rPr>
        <w:t>承包人投标文件及其附件（含评标期间的澄清文件和补充资料，不含已标价的工程量清单）；</w:t>
      </w:r>
    </w:p>
    <w:p w14:paraId="7FA8EAFD">
      <w:pPr>
        <w:pStyle w:val="12"/>
        <w:spacing w:line="360" w:lineRule="auto"/>
        <w:rPr>
          <w:rFonts w:hAnsi="宋体"/>
          <w:b/>
          <w:szCs w:val="21"/>
          <w:highlight w:val="none"/>
        </w:rPr>
      </w:pPr>
      <w:r>
        <w:rPr>
          <w:rFonts w:hint="eastAsia" w:hAnsi="宋体"/>
          <w:b/>
          <w:szCs w:val="21"/>
          <w:highlight w:val="none"/>
        </w:rPr>
        <w:t xml:space="preserve">    (5) 本合同专用条款；</w:t>
      </w:r>
    </w:p>
    <w:p w14:paraId="4838B0DA">
      <w:pPr>
        <w:pStyle w:val="12"/>
        <w:spacing w:line="360" w:lineRule="auto"/>
        <w:ind w:firstLine="422" w:firstLineChars="200"/>
        <w:rPr>
          <w:rFonts w:hAnsi="宋体"/>
          <w:b/>
          <w:szCs w:val="21"/>
          <w:highlight w:val="none"/>
        </w:rPr>
      </w:pPr>
      <w:r>
        <w:rPr>
          <w:rFonts w:hAnsi="宋体"/>
          <w:b/>
          <w:szCs w:val="21"/>
          <w:highlight w:val="none"/>
        </w:rPr>
        <w:t>(</w:t>
      </w:r>
      <w:r>
        <w:rPr>
          <w:rFonts w:hint="eastAsia" w:hAnsi="宋体"/>
          <w:b/>
          <w:szCs w:val="21"/>
          <w:highlight w:val="none"/>
        </w:rPr>
        <w:t>6</w:t>
      </w:r>
      <w:r>
        <w:rPr>
          <w:rFonts w:hAnsi="宋体"/>
          <w:b/>
          <w:szCs w:val="21"/>
          <w:highlight w:val="none"/>
        </w:rPr>
        <w:t>)</w:t>
      </w:r>
      <w:r>
        <w:rPr>
          <w:rFonts w:hint="eastAsia" w:hAnsi="宋体"/>
          <w:b/>
          <w:szCs w:val="21"/>
          <w:highlight w:val="none"/>
        </w:rPr>
        <w:t xml:space="preserve"> 招标文件第二章及其附件；</w:t>
      </w:r>
    </w:p>
    <w:p w14:paraId="381793DE">
      <w:pPr>
        <w:pStyle w:val="12"/>
        <w:spacing w:line="360" w:lineRule="auto"/>
        <w:ind w:firstLine="422" w:firstLineChars="200"/>
        <w:rPr>
          <w:rFonts w:hAnsi="宋体"/>
          <w:b/>
          <w:szCs w:val="21"/>
          <w:highlight w:val="none"/>
        </w:rPr>
      </w:pPr>
      <w:r>
        <w:rPr>
          <w:rFonts w:hAnsi="宋体"/>
          <w:b/>
          <w:szCs w:val="21"/>
          <w:highlight w:val="none"/>
        </w:rPr>
        <w:t>(</w:t>
      </w:r>
      <w:r>
        <w:rPr>
          <w:rFonts w:hint="eastAsia" w:hAnsi="宋体"/>
          <w:b/>
          <w:szCs w:val="21"/>
          <w:highlight w:val="none"/>
        </w:rPr>
        <w:t>7</w:t>
      </w:r>
      <w:r>
        <w:rPr>
          <w:rFonts w:hAnsi="宋体"/>
          <w:b/>
          <w:szCs w:val="21"/>
          <w:highlight w:val="none"/>
        </w:rPr>
        <w:t xml:space="preserve">) </w:t>
      </w:r>
      <w:r>
        <w:rPr>
          <w:rFonts w:hint="eastAsia" w:hAnsi="宋体"/>
          <w:b/>
          <w:szCs w:val="21"/>
          <w:highlight w:val="none"/>
        </w:rPr>
        <w:t>本合同通用条款；</w:t>
      </w:r>
    </w:p>
    <w:p w14:paraId="26AA0ACD">
      <w:pPr>
        <w:pStyle w:val="12"/>
        <w:spacing w:line="360" w:lineRule="auto"/>
        <w:ind w:firstLine="422" w:firstLineChars="200"/>
        <w:rPr>
          <w:rFonts w:hAnsi="宋体"/>
          <w:b/>
          <w:szCs w:val="21"/>
          <w:highlight w:val="none"/>
        </w:rPr>
      </w:pPr>
      <w:r>
        <w:rPr>
          <w:rFonts w:hAnsi="宋体"/>
          <w:b/>
          <w:szCs w:val="21"/>
          <w:highlight w:val="none"/>
        </w:rPr>
        <w:t>(</w:t>
      </w:r>
      <w:r>
        <w:rPr>
          <w:rFonts w:hint="eastAsia" w:hAnsi="宋体"/>
          <w:b/>
          <w:szCs w:val="21"/>
          <w:highlight w:val="none"/>
        </w:rPr>
        <w:t>8</w:t>
      </w:r>
      <w:r>
        <w:rPr>
          <w:rFonts w:hAnsi="宋体"/>
          <w:b/>
          <w:szCs w:val="21"/>
          <w:highlight w:val="none"/>
        </w:rPr>
        <w:t xml:space="preserve">) </w:t>
      </w:r>
      <w:r>
        <w:rPr>
          <w:rFonts w:hint="eastAsia" w:hAnsi="宋体"/>
          <w:b/>
          <w:szCs w:val="21"/>
          <w:highlight w:val="none"/>
        </w:rPr>
        <w:t>标准、规范及有关技术文件（招标文件第八章及其附件）；</w:t>
      </w:r>
    </w:p>
    <w:p w14:paraId="056843C6">
      <w:pPr>
        <w:pStyle w:val="12"/>
        <w:spacing w:line="360" w:lineRule="auto"/>
        <w:ind w:firstLine="422" w:firstLineChars="200"/>
        <w:rPr>
          <w:rFonts w:hAnsi="宋体"/>
          <w:b/>
          <w:szCs w:val="21"/>
          <w:highlight w:val="none"/>
        </w:rPr>
      </w:pPr>
      <w:r>
        <w:rPr>
          <w:rFonts w:hAnsi="宋体"/>
          <w:b/>
          <w:szCs w:val="21"/>
          <w:highlight w:val="none"/>
        </w:rPr>
        <w:t>(</w:t>
      </w:r>
      <w:r>
        <w:rPr>
          <w:rFonts w:hint="eastAsia" w:hAnsi="宋体"/>
          <w:b/>
          <w:szCs w:val="21"/>
          <w:highlight w:val="none"/>
        </w:rPr>
        <w:t>9</w:t>
      </w:r>
      <w:r>
        <w:rPr>
          <w:rFonts w:hAnsi="宋体"/>
          <w:b/>
          <w:szCs w:val="21"/>
          <w:highlight w:val="none"/>
        </w:rPr>
        <w:t xml:space="preserve">) </w:t>
      </w:r>
      <w:r>
        <w:rPr>
          <w:rFonts w:hint="eastAsia" w:hAnsi="宋体"/>
          <w:b/>
          <w:szCs w:val="21"/>
          <w:highlight w:val="none"/>
        </w:rPr>
        <w:t>施工图纸；</w:t>
      </w:r>
    </w:p>
    <w:p w14:paraId="1D025DA2">
      <w:pPr>
        <w:pStyle w:val="12"/>
        <w:spacing w:line="360" w:lineRule="auto"/>
        <w:ind w:firstLine="422" w:firstLineChars="200"/>
        <w:rPr>
          <w:rFonts w:hAnsi="宋体"/>
          <w:b/>
          <w:szCs w:val="21"/>
          <w:highlight w:val="none"/>
        </w:rPr>
      </w:pPr>
      <w:r>
        <w:rPr>
          <w:rFonts w:hAnsi="宋体"/>
          <w:b/>
          <w:szCs w:val="21"/>
          <w:highlight w:val="none"/>
        </w:rPr>
        <w:t>(</w:t>
      </w:r>
      <w:r>
        <w:rPr>
          <w:rFonts w:hint="eastAsia" w:hAnsi="宋体"/>
          <w:b/>
          <w:szCs w:val="21"/>
          <w:highlight w:val="none"/>
        </w:rPr>
        <w:t>10</w:t>
      </w:r>
      <w:r>
        <w:rPr>
          <w:rFonts w:hAnsi="宋体"/>
          <w:b/>
          <w:szCs w:val="21"/>
          <w:highlight w:val="none"/>
        </w:rPr>
        <w:t xml:space="preserve">) </w:t>
      </w:r>
      <w:r>
        <w:rPr>
          <w:rFonts w:hint="eastAsia" w:hAnsi="宋体"/>
          <w:b/>
          <w:szCs w:val="21"/>
          <w:highlight w:val="none"/>
        </w:rPr>
        <w:t>工程量清单（承包人投标文件已标价的工程量清单）；</w:t>
      </w:r>
    </w:p>
    <w:p w14:paraId="3B1BAF12">
      <w:pPr>
        <w:spacing w:line="360" w:lineRule="auto"/>
        <w:ind w:firstLine="422" w:firstLineChars="200"/>
        <w:rPr>
          <w:rFonts w:ascii="宋体" w:hAnsi="宋体"/>
          <w:szCs w:val="21"/>
          <w:highlight w:val="none"/>
        </w:rPr>
      </w:pPr>
      <w:r>
        <w:rPr>
          <w:b/>
          <w:highlight w:val="none"/>
        </w:rPr>
        <w:t>(1</w:t>
      </w:r>
      <w:r>
        <w:rPr>
          <w:rFonts w:hint="eastAsia"/>
          <w:b/>
          <w:highlight w:val="none"/>
        </w:rPr>
        <w:t>1</w:t>
      </w:r>
      <w:r>
        <w:rPr>
          <w:b/>
          <w:highlight w:val="none"/>
        </w:rPr>
        <w:t xml:space="preserve">) </w:t>
      </w:r>
      <w:r>
        <w:rPr>
          <w:rFonts w:hint="eastAsia"/>
          <w:b/>
          <w:highlight w:val="none"/>
        </w:rPr>
        <w:t>经双方确认构成本合同组成部分的其他文件。</w:t>
      </w:r>
    </w:p>
    <w:p w14:paraId="03F4E13D">
      <w:pPr>
        <w:pStyle w:val="6"/>
        <w:rPr>
          <w:sz w:val="21"/>
          <w:szCs w:val="21"/>
          <w:highlight w:val="none"/>
        </w:rPr>
      </w:pPr>
      <w:bookmarkStart w:id="145" w:name="_Toc273290652"/>
      <w:bookmarkStart w:id="146" w:name="_Toc461980425"/>
      <w:bookmarkStart w:id="147" w:name="_Toc271290630"/>
      <w:bookmarkStart w:id="148" w:name="_Toc254775504"/>
      <w:bookmarkStart w:id="149" w:name="_Toc4367"/>
      <w:bookmarkStart w:id="150" w:name="_Toc520715088"/>
      <w:r>
        <w:rPr>
          <w:rFonts w:hint="eastAsia"/>
          <w:sz w:val="21"/>
          <w:szCs w:val="21"/>
          <w:highlight w:val="none"/>
        </w:rPr>
        <w:t>4、语言及适用的法律、标准与规范</w:t>
      </w:r>
      <w:bookmarkEnd w:id="145"/>
      <w:bookmarkEnd w:id="146"/>
      <w:bookmarkEnd w:id="147"/>
      <w:bookmarkEnd w:id="148"/>
      <w:bookmarkEnd w:id="149"/>
      <w:bookmarkEnd w:id="150"/>
    </w:p>
    <w:p w14:paraId="39983B8B">
      <w:pPr>
        <w:rPr>
          <w:rFonts w:ascii="宋体" w:hAnsi="宋体"/>
          <w:szCs w:val="21"/>
          <w:highlight w:val="none"/>
        </w:rPr>
      </w:pPr>
      <w:bookmarkStart w:id="151" w:name="_Toc461980426"/>
      <w:bookmarkStart w:id="152" w:name="_Toc520715089"/>
      <w:bookmarkStart w:id="153" w:name="_Toc273290653"/>
      <w:bookmarkStart w:id="154" w:name="_Toc334014586"/>
      <w:bookmarkStart w:id="155" w:name="_Toc30948"/>
      <w:bookmarkStart w:id="156" w:name="_Toc44235687"/>
      <w:r>
        <w:rPr>
          <w:rFonts w:hint="eastAsia" w:ascii="宋体" w:hAnsi="宋体"/>
          <w:szCs w:val="21"/>
          <w:highlight w:val="none"/>
        </w:rPr>
        <w:t>4.3   约定适用的标准、规范的名称：</w:t>
      </w:r>
      <w:bookmarkEnd w:id="151"/>
      <w:bookmarkEnd w:id="152"/>
      <w:bookmarkEnd w:id="153"/>
      <w:bookmarkEnd w:id="154"/>
      <w:bookmarkEnd w:id="155"/>
      <w:r>
        <w:rPr>
          <w:rFonts w:hint="eastAsia" w:ascii="宋体" w:hAnsi="宋体"/>
          <w:b/>
          <w:szCs w:val="21"/>
          <w:highlight w:val="none"/>
        </w:rPr>
        <w:t>材料、设备、施工、验收须达到现行与本工程相关和适用于本工程的中华人民共和国以及广东省、汕头市或行业的工程建设标准、规范的要求。</w:t>
      </w:r>
      <w:bookmarkEnd w:id="156"/>
    </w:p>
    <w:p w14:paraId="4886575B">
      <w:pPr>
        <w:pStyle w:val="6"/>
        <w:rPr>
          <w:sz w:val="21"/>
          <w:szCs w:val="21"/>
          <w:highlight w:val="none"/>
        </w:rPr>
      </w:pPr>
      <w:bookmarkStart w:id="157" w:name="_Toc520715090"/>
      <w:bookmarkStart w:id="158" w:name="_Toc17284"/>
      <w:bookmarkStart w:id="159" w:name="_Toc271290631"/>
      <w:bookmarkStart w:id="160" w:name="_Toc461980427"/>
      <w:bookmarkStart w:id="161" w:name="_Toc273290654"/>
      <w:bookmarkStart w:id="162" w:name="_Toc254775505"/>
      <w:r>
        <w:rPr>
          <w:rFonts w:hint="eastAsia"/>
          <w:sz w:val="21"/>
          <w:szCs w:val="21"/>
          <w:highlight w:val="none"/>
        </w:rPr>
        <w:t>5、施工设计图纸</w:t>
      </w:r>
      <w:bookmarkEnd w:id="157"/>
      <w:bookmarkEnd w:id="158"/>
      <w:bookmarkEnd w:id="159"/>
      <w:bookmarkEnd w:id="160"/>
      <w:bookmarkEnd w:id="161"/>
      <w:bookmarkEnd w:id="162"/>
    </w:p>
    <w:p w14:paraId="36148433">
      <w:pPr>
        <w:rPr>
          <w:rFonts w:ascii="宋体" w:hAnsi="宋体"/>
          <w:szCs w:val="21"/>
          <w:highlight w:val="none"/>
        </w:rPr>
      </w:pPr>
      <w:bookmarkStart w:id="163" w:name="_Toc273290655"/>
      <w:bookmarkStart w:id="164" w:name="_Toc31223"/>
      <w:bookmarkStart w:id="165" w:name="_Toc44235688"/>
      <w:bookmarkStart w:id="166" w:name="_Toc334014588"/>
      <w:bookmarkStart w:id="167" w:name="_Toc263775787"/>
      <w:bookmarkStart w:id="168" w:name="_Toc520715091"/>
      <w:bookmarkStart w:id="169" w:name="_Toc461980428"/>
      <w:bookmarkStart w:id="170" w:name="_Toc271290632"/>
      <w:r>
        <w:rPr>
          <w:rFonts w:hint="eastAsia" w:ascii="宋体" w:hAnsi="宋体"/>
          <w:szCs w:val="21"/>
          <w:highlight w:val="none"/>
        </w:rPr>
        <w:t>5.1  施工设计图纸由发包人提供</w:t>
      </w:r>
      <w:bookmarkEnd w:id="163"/>
      <w:bookmarkEnd w:id="164"/>
      <w:bookmarkEnd w:id="165"/>
      <w:bookmarkEnd w:id="166"/>
      <w:bookmarkEnd w:id="167"/>
      <w:bookmarkEnd w:id="168"/>
      <w:bookmarkEnd w:id="169"/>
      <w:bookmarkEnd w:id="170"/>
    </w:p>
    <w:p w14:paraId="1CB1454E">
      <w:pPr>
        <w:spacing w:line="360" w:lineRule="auto"/>
        <w:ind w:firstLine="525" w:firstLineChars="250"/>
        <w:rPr>
          <w:rFonts w:ascii="宋体" w:hAnsi="宋体"/>
          <w:szCs w:val="21"/>
          <w:highlight w:val="none"/>
        </w:rPr>
      </w:pPr>
      <w:r>
        <w:rPr>
          <w:rFonts w:hint="eastAsia" w:ascii="宋体" w:hAnsi="宋体"/>
          <w:szCs w:val="21"/>
          <w:highlight w:val="none"/>
        </w:rPr>
        <w:t>（1）施工设计图纸提供的时间：合同签订后</w:t>
      </w:r>
      <w:r>
        <w:rPr>
          <w:rFonts w:hint="eastAsia" w:ascii="宋体" w:hAnsi="宋体"/>
          <w:szCs w:val="21"/>
          <w:highlight w:val="none"/>
          <w:u w:val="single"/>
        </w:rPr>
        <w:t xml:space="preserve"> 7 </w:t>
      </w:r>
      <w:r>
        <w:rPr>
          <w:rFonts w:hint="eastAsia" w:ascii="宋体" w:hAnsi="宋体"/>
          <w:szCs w:val="21"/>
          <w:highlight w:val="none"/>
        </w:rPr>
        <w:t>日内；</w:t>
      </w:r>
    </w:p>
    <w:p w14:paraId="56843CB7">
      <w:pPr>
        <w:tabs>
          <w:tab w:val="left" w:pos="6726"/>
        </w:tabs>
        <w:spacing w:line="360" w:lineRule="auto"/>
        <w:ind w:firstLine="525" w:firstLineChars="250"/>
        <w:rPr>
          <w:rFonts w:ascii="宋体" w:hAnsi="宋体"/>
          <w:b/>
          <w:szCs w:val="21"/>
          <w:highlight w:val="none"/>
        </w:rPr>
      </w:pPr>
      <w:r>
        <w:rPr>
          <w:rFonts w:hint="eastAsia" w:ascii="宋体" w:hAnsi="宋体"/>
          <w:szCs w:val="21"/>
          <w:highlight w:val="none"/>
        </w:rPr>
        <w:t>（2）施工设计图纸提供的数量：</w:t>
      </w:r>
      <w:r>
        <w:rPr>
          <w:rFonts w:hint="eastAsia" w:ascii="宋体" w:hAnsi="宋体"/>
          <w:b/>
          <w:szCs w:val="21"/>
          <w:highlight w:val="none"/>
        </w:rPr>
        <w:t>书面版3套，电子版1套</w:t>
      </w:r>
      <w:r>
        <w:rPr>
          <w:rFonts w:hint="eastAsia" w:ascii="宋体" w:hAnsi="宋体"/>
          <w:szCs w:val="21"/>
          <w:highlight w:val="none"/>
        </w:rPr>
        <w:t>；</w:t>
      </w:r>
      <w:r>
        <w:rPr>
          <w:rFonts w:hint="eastAsia" w:ascii="宋体" w:hAnsi="宋体"/>
          <w:b/>
          <w:kern w:val="0"/>
          <w:szCs w:val="21"/>
          <w:highlight w:val="none"/>
        </w:rPr>
        <w:t>如承包人需要增加图纸或其他技术资料数量的，发包人可代为办理，所发生的费用由承包人承担。</w:t>
      </w:r>
      <w:r>
        <w:rPr>
          <w:rFonts w:hint="eastAsia" w:ascii="宋体" w:hAnsi="宋体"/>
          <w:b/>
          <w:szCs w:val="21"/>
          <w:highlight w:val="none"/>
        </w:rPr>
        <w:t>相关的标准与规范由承包人自行购买。</w:t>
      </w:r>
    </w:p>
    <w:p w14:paraId="23E6FE0C">
      <w:pPr>
        <w:tabs>
          <w:tab w:val="left" w:pos="6726"/>
        </w:tabs>
        <w:spacing w:line="360" w:lineRule="auto"/>
        <w:ind w:firstLine="527" w:firstLineChars="250"/>
        <w:rPr>
          <w:rFonts w:ascii="宋体" w:hAnsi="宋体"/>
          <w:szCs w:val="21"/>
          <w:highlight w:val="none"/>
        </w:rPr>
      </w:pPr>
      <w:r>
        <w:rPr>
          <w:rFonts w:hint="eastAsia" w:ascii="宋体" w:hAnsi="宋体"/>
          <w:b/>
          <w:kern w:val="0"/>
          <w:szCs w:val="21"/>
          <w:highlight w:val="none"/>
        </w:rPr>
        <w:t>（3）图纸清单：详见招标文件 “招标图纸”。</w:t>
      </w:r>
    </w:p>
    <w:p w14:paraId="2A3F3793">
      <w:pPr>
        <w:rPr>
          <w:rFonts w:ascii="宋体" w:hAnsi="宋体"/>
          <w:szCs w:val="21"/>
          <w:highlight w:val="none"/>
        </w:rPr>
      </w:pPr>
      <w:bookmarkStart w:id="171" w:name="_Toc461980429"/>
      <w:bookmarkStart w:id="172" w:name="_Toc32153"/>
      <w:bookmarkStart w:id="173" w:name="_Toc263775788"/>
      <w:bookmarkStart w:id="174" w:name="_Toc44235689"/>
      <w:bookmarkStart w:id="175" w:name="_Toc271290633"/>
      <w:bookmarkStart w:id="176" w:name="_Toc334014589"/>
      <w:bookmarkStart w:id="177" w:name="_Toc273290656"/>
      <w:bookmarkStart w:id="178" w:name="_Toc520715092"/>
      <w:r>
        <w:rPr>
          <w:rFonts w:hint="eastAsia" w:ascii="宋体" w:hAnsi="宋体"/>
          <w:szCs w:val="21"/>
          <w:highlight w:val="none"/>
        </w:rPr>
        <w:t>5.2  施工设计图纸由承包人提供：</w:t>
      </w:r>
      <w:bookmarkEnd w:id="171"/>
      <w:bookmarkEnd w:id="172"/>
      <w:bookmarkEnd w:id="173"/>
      <w:bookmarkEnd w:id="174"/>
      <w:bookmarkEnd w:id="175"/>
      <w:bookmarkEnd w:id="176"/>
      <w:bookmarkEnd w:id="177"/>
      <w:bookmarkEnd w:id="178"/>
    </w:p>
    <w:p w14:paraId="6F7E9DF9">
      <w:pPr>
        <w:spacing w:line="360" w:lineRule="auto"/>
        <w:ind w:firstLine="525" w:firstLineChars="250"/>
        <w:rPr>
          <w:rFonts w:ascii="宋体" w:hAnsi="宋体"/>
          <w:szCs w:val="21"/>
          <w:highlight w:val="none"/>
        </w:rPr>
      </w:pPr>
      <w:r>
        <w:rPr>
          <w:rFonts w:hint="eastAsia" w:ascii="宋体" w:hAnsi="宋体"/>
          <w:szCs w:val="21"/>
          <w:highlight w:val="none"/>
        </w:rPr>
        <w:t>（1）施工设计图纸提供的时间：/；</w:t>
      </w:r>
    </w:p>
    <w:p w14:paraId="4C47AE2C">
      <w:pPr>
        <w:spacing w:line="360" w:lineRule="auto"/>
        <w:ind w:firstLine="525" w:firstLineChars="250"/>
        <w:rPr>
          <w:rFonts w:ascii="宋体" w:hAnsi="宋体"/>
          <w:szCs w:val="21"/>
          <w:highlight w:val="none"/>
        </w:rPr>
      </w:pPr>
      <w:r>
        <w:rPr>
          <w:rFonts w:hint="eastAsia" w:ascii="宋体" w:hAnsi="宋体"/>
          <w:szCs w:val="21"/>
          <w:highlight w:val="none"/>
        </w:rPr>
        <w:t>（2）施工设计图纸提供的数量：/；</w:t>
      </w:r>
    </w:p>
    <w:p w14:paraId="418E8FF8">
      <w:pPr>
        <w:rPr>
          <w:rFonts w:ascii="宋体" w:hAnsi="宋体"/>
          <w:szCs w:val="21"/>
          <w:highlight w:val="none"/>
        </w:rPr>
      </w:pPr>
      <w:bookmarkStart w:id="179" w:name="_Toc461980430"/>
      <w:bookmarkStart w:id="180" w:name="_Toc520715093"/>
      <w:bookmarkStart w:id="181" w:name="_Toc334014590"/>
      <w:bookmarkStart w:id="182" w:name="_Toc32755"/>
      <w:bookmarkStart w:id="183" w:name="_Toc271290634"/>
      <w:bookmarkStart w:id="184" w:name="_Toc263775789"/>
      <w:bookmarkStart w:id="185" w:name="_Toc273290657"/>
      <w:bookmarkStart w:id="186" w:name="_Toc44235690"/>
      <w:r>
        <w:rPr>
          <w:rFonts w:hint="eastAsia" w:ascii="宋体" w:hAnsi="宋体"/>
          <w:szCs w:val="21"/>
          <w:highlight w:val="none"/>
        </w:rPr>
        <w:t>5.3  变更的设计图纸由发包人提供</w:t>
      </w:r>
      <w:bookmarkEnd w:id="179"/>
      <w:bookmarkEnd w:id="180"/>
      <w:bookmarkEnd w:id="181"/>
      <w:bookmarkEnd w:id="182"/>
      <w:bookmarkEnd w:id="183"/>
      <w:bookmarkEnd w:id="184"/>
      <w:bookmarkEnd w:id="185"/>
      <w:bookmarkEnd w:id="186"/>
    </w:p>
    <w:p w14:paraId="2432FD77">
      <w:pPr>
        <w:spacing w:line="360" w:lineRule="auto"/>
        <w:ind w:firstLine="525" w:firstLineChars="250"/>
        <w:rPr>
          <w:rFonts w:ascii="宋体" w:hAnsi="宋体"/>
          <w:szCs w:val="21"/>
          <w:highlight w:val="none"/>
        </w:rPr>
      </w:pPr>
      <w:r>
        <w:rPr>
          <w:rFonts w:hint="eastAsia" w:ascii="宋体" w:hAnsi="宋体"/>
          <w:szCs w:val="21"/>
          <w:highlight w:val="none"/>
        </w:rPr>
        <w:t>（1）变更的设计图纸提供的时间：</w:t>
      </w:r>
      <w:r>
        <w:rPr>
          <w:rFonts w:hint="eastAsia" w:ascii="宋体" w:hAnsi="宋体"/>
          <w:b/>
          <w:szCs w:val="21"/>
          <w:highlight w:val="none"/>
        </w:rPr>
        <w:t>在变更部分图纸施工前7 天提供</w:t>
      </w:r>
      <w:r>
        <w:rPr>
          <w:rFonts w:hint="eastAsia" w:ascii="宋体" w:hAnsi="宋体"/>
          <w:szCs w:val="21"/>
          <w:highlight w:val="none"/>
        </w:rPr>
        <w:t>；</w:t>
      </w:r>
    </w:p>
    <w:p w14:paraId="5C3EF7A4">
      <w:pPr>
        <w:spacing w:line="360" w:lineRule="auto"/>
        <w:ind w:firstLine="525" w:firstLineChars="250"/>
        <w:rPr>
          <w:rFonts w:ascii="宋体" w:hAnsi="宋体"/>
          <w:szCs w:val="21"/>
          <w:highlight w:val="none"/>
        </w:rPr>
      </w:pPr>
      <w:r>
        <w:rPr>
          <w:rFonts w:hint="eastAsia" w:ascii="宋体" w:hAnsi="宋体"/>
          <w:szCs w:val="21"/>
          <w:highlight w:val="none"/>
        </w:rPr>
        <w:t>（2）变更的设计图纸提供的数量：</w:t>
      </w:r>
      <w:r>
        <w:rPr>
          <w:rFonts w:hint="eastAsia" w:ascii="宋体" w:hAnsi="宋体"/>
          <w:b/>
          <w:szCs w:val="21"/>
          <w:highlight w:val="none"/>
        </w:rPr>
        <w:t>书面版3套，电子版1套</w:t>
      </w:r>
      <w:r>
        <w:rPr>
          <w:rFonts w:hint="eastAsia" w:ascii="宋体" w:hAnsi="宋体"/>
          <w:szCs w:val="21"/>
          <w:highlight w:val="none"/>
        </w:rPr>
        <w:t>；</w:t>
      </w:r>
    </w:p>
    <w:p w14:paraId="0EAFD459">
      <w:pPr>
        <w:pStyle w:val="6"/>
        <w:rPr>
          <w:szCs w:val="21"/>
          <w:highlight w:val="none"/>
        </w:rPr>
      </w:pPr>
      <w:bookmarkStart w:id="187" w:name="_Toc520715094"/>
      <w:bookmarkStart w:id="188" w:name="_Toc273290658"/>
      <w:bookmarkStart w:id="189" w:name="_Toc271290635"/>
      <w:bookmarkStart w:id="190" w:name="_Toc254775506"/>
      <w:bookmarkStart w:id="191" w:name="_Toc2709"/>
      <w:bookmarkStart w:id="192" w:name="_Toc461980431"/>
      <w:r>
        <w:rPr>
          <w:rFonts w:hint="eastAsia"/>
          <w:szCs w:val="21"/>
          <w:highlight w:val="none"/>
        </w:rPr>
        <w:t>6、通讯联络</w:t>
      </w:r>
      <w:bookmarkEnd w:id="187"/>
      <w:bookmarkEnd w:id="188"/>
      <w:bookmarkEnd w:id="189"/>
      <w:bookmarkEnd w:id="190"/>
      <w:bookmarkEnd w:id="191"/>
      <w:bookmarkEnd w:id="192"/>
    </w:p>
    <w:p w14:paraId="38519389">
      <w:pPr>
        <w:spacing w:line="360" w:lineRule="auto"/>
        <w:ind w:firstLine="420" w:firstLineChars="200"/>
        <w:rPr>
          <w:rFonts w:ascii="宋体" w:hAnsi="宋体"/>
          <w:szCs w:val="21"/>
          <w:highlight w:val="none"/>
        </w:rPr>
      </w:pPr>
      <w:r>
        <w:rPr>
          <w:rFonts w:hint="eastAsia" w:ascii="宋体" w:hAnsi="宋体"/>
          <w:szCs w:val="21"/>
          <w:highlight w:val="none"/>
        </w:rPr>
        <w:t>6.2  各方通讯地址、收件人及其他送达方式</w:t>
      </w:r>
    </w:p>
    <w:p w14:paraId="010F529F">
      <w:pPr>
        <w:spacing w:line="360" w:lineRule="auto"/>
        <w:ind w:firstLine="420" w:firstLineChars="200"/>
        <w:rPr>
          <w:rFonts w:ascii="宋体" w:hAnsi="宋体"/>
          <w:szCs w:val="21"/>
          <w:highlight w:val="none"/>
        </w:rPr>
      </w:pPr>
      <w:r>
        <w:rPr>
          <w:rFonts w:hint="eastAsia" w:ascii="宋体" w:hAnsi="宋体"/>
          <w:szCs w:val="21"/>
          <w:highlight w:val="none"/>
        </w:rPr>
        <w:t>(1)  各方通讯地址和收件人：</w:t>
      </w:r>
    </w:p>
    <w:p w14:paraId="04AEA254">
      <w:pPr>
        <w:spacing w:line="360" w:lineRule="auto"/>
        <w:ind w:firstLine="420" w:firstLineChars="200"/>
        <w:rPr>
          <w:rFonts w:ascii="宋体" w:hAnsi="宋体"/>
          <w:szCs w:val="21"/>
          <w:highlight w:val="none"/>
        </w:rPr>
      </w:pPr>
      <w:r>
        <w:rPr>
          <w:rFonts w:hint="eastAsia" w:ascii="宋体" w:hAnsi="宋体"/>
          <w:szCs w:val="21"/>
          <w:highlight w:val="none"/>
        </w:rPr>
        <w:t>发包人</w:t>
      </w:r>
    </w:p>
    <w:p w14:paraId="5463A914">
      <w:pPr>
        <w:spacing w:line="360" w:lineRule="auto"/>
        <w:ind w:firstLine="420" w:firstLineChars="200"/>
        <w:rPr>
          <w:rFonts w:ascii="宋体" w:hAnsi="宋体"/>
          <w:szCs w:val="21"/>
          <w:highlight w:val="none"/>
        </w:rPr>
      </w:pPr>
      <w:r>
        <w:rPr>
          <w:rFonts w:hint="eastAsia" w:ascii="宋体" w:hAnsi="宋体"/>
          <w:szCs w:val="21"/>
          <w:highlight w:val="none"/>
        </w:rPr>
        <w:t>通讯地址：                           收件人：         邮编：</w:t>
      </w:r>
    </w:p>
    <w:p w14:paraId="2C3DF242">
      <w:pPr>
        <w:spacing w:line="360" w:lineRule="auto"/>
        <w:ind w:firstLine="420" w:firstLineChars="200"/>
        <w:rPr>
          <w:rFonts w:ascii="宋体" w:hAnsi="宋体"/>
          <w:szCs w:val="21"/>
          <w:highlight w:val="none"/>
        </w:rPr>
      </w:pPr>
    </w:p>
    <w:p w14:paraId="15783226">
      <w:pPr>
        <w:spacing w:line="360" w:lineRule="auto"/>
        <w:ind w:firstLine="420" w:firstLineChars="200"/>
        <w:rPr>
          <w:rFonts w:ascii="宋体" w:hAnsi="宋体"/>
          <w:szCs w:val="21"/>
          <w:highlight w:val="none"/>
        </w:rPr>
      </w:pPr>
      <w:r>
        <w:rPr>
          <w:rFonts w:hint="eastAsia" w:ascii="宋体" w:hAnsi="宋体"/>
          <w:szCs w:val="21"/>
          <w:highlight w:val="none"/>
        </w:rPr>
        <w:t>承包人</w:t>
      </w:r>
    </w:p>
    <w:p w14:paraId="6741E279">
      <w:pPr>
        <w:spacing w:line="360" w:lineRule="auto"/>
        <w:ind w:firstLine="420" w:firstLineChars="200"/>
        <w:rPr>
          <w:rFonts w:ascii="宋体" w:hAnsi="宋体"/>
          <w:szCs w:val="21"/>
          <w:highlight w:val="none"/>
        </w:rPr>
      </w:pPr>
      <w:r>
        <w:rPr>
          <w:rFonts w:hint="eastAsia" w:ascii="宋体" w:hAnsi="宋体"/>
          <w:szCs w:val="21"/>
          <w:highlight w:val="none"/>
        </w:rPr>
        <w:t>通讯地址：                           收件人：         邮编：</w:t>
      </w:r>
    </w:p>
    <w:p w14:paraId="78C08BC9">
      <w:pPr>
        <w:spacing w:line="360" w:lineRule="auto"/>
        <w:ind w:firstLine="420" w:firstLineChars="200"/>
        <w:rPr>
          <w:rFonts w:ascii="宋体" w:hAnsi="宋体"/>
          <w:szCs w:val="21"/>
          <w:highlight w:val="none"/>
        </w:rPr>
      </w:pPr>
    </w:p>
    <w:p w14:paraId="6ECC8494">
      <w:pPr>
        <w:spacing w:line="360" w:lineRule="auto"/>
        <w:ind w:firstLine="420" w:firstLineChars="200"/>
        <w:rPr>
          <w:rFonts w:ascii="宋体" w:hAnsi="宋体"/>
          <w:szCs w:val="21"/>
          <w:highlight w:val="none"/>
        </w:rPr>
      </w:pPr>
      <w:r>
        <w:rPr>
          <w:rFonts w:hint="eastAsia" w:ascii="宋体" w:hAnsi="宋体"/>
          <w:szCs w:val="21"/>
          <w:highlight w:val="none"/>
        </w:rPr>
        <w:t>监理单位</w:t>
      </w:r>
    </w:p>
    <w:p w14:paraId="00806DD8">
      <w:pPr>
        <w:spacing w:line="360" w:lineRule="auto"/>
        <w:ind w:firstLine="420" w:firstLineChars="200"/>
        <w:rPr>
          <w:rFonts w:ascii="宋体" w:hAnsi="宋体"/>
          <w:szCs w:val="21"/>
          <w:highlight w:val="none"/>
        </w:rPr>
      </w:pPr>
      <w:r>
        <w:rPr>
          <w:rFonts w:hint="eastAsia" w:ascii="宋体" w:hAnsi="宋体"/>
          <w:szCs w:val="21"/>
          <w:highlight w:val="none"/>
        </w:rPr>
        <w:t>通讯地址：                           收件人：         邮编：</w:t>
      </w:r>
    </w:p>
    <w:p w14:paraId="69AE00BE">
      <w:pPr>
        <w:spacing w:line="360" w:lineRule="auto"/>
        <w:ind w:firstLine="420" w:firstLineChars="200"/>
        <w:rPr>
          <w:rFonts w:ascii="宋体" w:hAnsi="宋体"/>
          <w:szCs w:val="21"/>
          <w:highlight w:val="none"/>
        </w:rPr>
      </w:pPr>
    </w:p>
    <w:p w14:paraId="1DBB1343">
      <w:pPr>
        <w:spacing w:line="360" w:lineRule="auto"/>
        <w:ind w:firstLine="420" w:firstLineChars="200"/>
        <w:rPr>
          <w:rFonts w:ascii="宋体" w:hAnsi="宋体"/>
          <w:szCs w:val="21"/>
          <w:highlight w:val="none"/>
        </w:rPr>
      </w:pPr>
      <w:r>
        <w:rPr>
          <w:rFonts w:hint="eastAsia" w:ascii="宋体" w:hAnsi="宋体"/>
          <w:szCs w:val="21"/>
          <w:highlight w:val="none"/>
        </w:rPr>
        <w:t>造价咨询单位：</w:t>
      </w:r>
    </w:p>
    <w:p w14:paraId="19EA5731">
      <w:pPr>
        <w:spacing w:line="360" w:lineRule="auto"/>
        <w:ind w:firstLine="420" w:firstLineChars="200"/>
        <w:rPr>
          <w:rFonts w:ascii="宋体" w:hAnsi="宋体"/>
          <w:szCs w:val="21"/>
          <w:highlight w:val="none"/>
        </w:rPr>
      </w:pPr>
      <w:r>
        <w:rPr>
          <w:rFonts w:hint="eastAsia" w:ascii="宋体" w:hAnsi="宋体"/>
          <w:szCs w:val="21"/>
          <w:highlight w:val="none"/>
        </w:rPr>
        <w:t>通讯地址：                           收件人：         邮编：</w:t>
      </w:r>
    </w:p>
    <w:p w14:paraId="02475423">
      <w:pPr>
        <w:spacing w:line="360" w:lineRule="auto"/>
        <w:ind w:firstLine="420" w:firstLineChars="200"/>
        <w:rPr>
          <w:rFonts w:ascii="宋体" w:hAnsi="宋体"/>
          <w:szCs w:val="21"/>
          <w:highlight w:val="none"/>
        </w:rPr>
      </w:pPr>
      <w:r>
        <w:rPr>
          <w:rFonts w:hint="eastAsia" w:ascii="宋体" w:hAnsi="宋体"/>
          <w:szCs w:val="21"/>
          <w:highlight w:val="none"/>
        </w:rPr>
        <w:t>(2) 视为送达的其他方式：</w:t>
      </w:r>
      <w:r>
        <w:rPr>
          <w:rFonts w:hint="eastAsia" w:ascii="宋体" w:hAnsi="宋体"/>
          <w:b/>
          <w:szCs w:val="21"/>
          <w:highlight w:val="none"/>
        </w:rPr>
        <w:t>特快专递、挂号信。</w:t>
      </w:r>
    </w:p>
    <w:p w14:paraId="4D654426">
      <w:pPr>
        <w:pStyle w:val="6"/>
        <w:rPr>
          <w:szCs w:val="21"/>
          <w:highlight w:val="none"/>
        </w:rPr>
      </w:pPr>
      <w:bookmarkStart w:id="193" w:name="_Toc254775507"/>
      <w:bookmarkStart w:id="194" w:name="_Toc273290659"/>
      <w:bookmarkStart w:id="195" w:name="_Toc461980432"/>
      <w:bookmarkStart w:id="196" w:name="_Toc18764"/>
      <w:bookmarkStart w:id="197" w:name="_Toc520715095"/>
      <w:bookmarkStart w:id="198" w:name="_Toc271290636"/>
      <w:r>
        <w:rPr>
          <w:rFonts w:hint="eastAsia"/>
          <w:szCs w:val="21"/>
          <w:highlight w:val="none"/>
        </w:rPr>
        <w:t>7、工程分包</w:t>
      </w:r>
      <w:bookmarkEnd w:id="193"/>
      <w:bookmarkEnd w:id="194"/>
      <w:bookmarkEnd w:id="195"/>
      <w:bookmarkEnd w:id="196"/>
      <w:bookmarkEnd w:id="197"/>
      <w:bookmarkEnd w:id="198"/>
    </w:p>
    <w:p w14:paraId="46456EF1">
      <w:pPr>
        <w:spacing w:line="360" w:lineRule="auto"/>
        <w:ind w:firstLine="420" w:firstLineChars="200"/>
        <w:rPr>
          <w:rFonts w:ascii="宋体" w:hAnsi="宋体"/>
          <w:szCs w:val="21"/>
          <w:highlight w:val="none"/>
        </w:rPr>
      </w:pPr>
      <w:r>
        <w:rPr>
          <w:rFonts w:hint="eastAsia" w:ascii="宋体" w:hAnsi="宋体"/>
          <w:szCs w:val="21"/>
          <w:highlight w:val="none"/>
        </w:rPr>
        <w:t xml:space="preserve">7.2（3）指定分包工程：无。 </w:t>
      </w:r>
    </w:p>
    <w:p w14:paraId="135B11F1">
      <w:pPr>
        <w:spacing w:line="360" w:lineRule="auto"/>
        <w:ind w:firstLine="420" w:firstLineChars="200"/>
        <w:rPr>
          <w:rFonts w:ascii="宋体" w:hAnsi="宋体"/>
          <w:szCs w:val="21"/>
          <w:highlight w:val="none"/>
        </w:rPr>
      </w:pPr>
      <w:r>
        <w:rPr>
          <w:rFonts w:hint="eastAsia" w:ascii="宋体" w:hAnsi="宋体"/>
          <w:szCs w:val="21"/>
          <w:highlight w:val="none"/>
        </w:rPr>
        <w:t>本款文末增加如下内容：</w:t>
      </w:r>
      <w:r>
        <w:rPr>
          <w:rFonts w:hint="eastAsia" w:ascii="宋体" w:hAnsi="宋体"/>
          <w:b/>
          <w:szCs w:val="21"/>
          <w:highlight w:val="none"/>
        </w:rPr>
        <w:t>由承包人在发包人支付的工程款中直接支付分包人</w:t>
      </w:r>
      <w:r>
        <w:rPr>
          <w:rFonts w:hint="eastAsia" w:ascii="宋体" w:hAnsi="宋体"/>
          <w:szCs w:val="21"/>
          <w:highlight w:val="none"/>
        </w:rPr>
        <w:t>。</w:t>
      </w:r>
    </w:p>
    <w:p w14:paraId="77C8B7F8">
      <w:pPr>
        <w:spacing w:line="360" w:lineRule="auto"/>
        <w:ind w:firstLine="422" w:firstLineChars="200"/>
        <w:rPr>
          <w:rFonts w:ascii="宋体" w:hAnsi="宋体"/>
          <w:b/>
          <w:szCs w:val="21"/>
          <w:highlight w:val="none"/>
        </w:rPr>
      </w:pPr>
      <w:r>
        <w:rPr>
          <w:rFonts w:hint="eastAsia" w:ascii="宋体" w:hAnsi="宋体"/>
          <w:b/>
          <w:szCs w:val="21"/>
          <w:highlight w:val="none"/>
        </w:rPr>
        <w:t>专业分包单位是指中标人经招标人确认后将招标范围内部分专业性较强或中标人无该分项专业资质的工程内容自行发包给选定的分包单位。</w:t>
      </w:r>
    </w:p>
    <w:p w14:paraId="14FA5D65">
      <w:pPr>
        <w:spacing w:line="360" w:lineRule="auto"/>
        <w:ind w:firstLine="422" w:firstLineChars="200"/>
        <w:rPr>
          <w:rFonts w:ascii="宋体" w:hAnsi="宋体"/>
          <w:b/>
          <w:szCs w:val="21"/>
          <w:highlight w:val="none"/>
        </w:rPr>
      </w:pPr>
      <w:r>
        <w:rPr>
          <w:rFonts w:hint="eastAsia" w:ascii="宋体" w:hAnsi="宋体"/>
          <w:b/>
          <w:szCs w:val="21"/>
          <w:highlight w:val="none"/>
        </w:rPr>
        <w:t xml:space="preserve">工程严禁转包，如承包人隐瞒真相私自转包工程，发包人有权解除与承包人的施工合同，对于已实施的转包部分的工程不予结算和支付。对于部分确须分包的专业性较强的分项工程，承包人在确定分包单位前必须书面向招标人申报，并向发包人提交不少于三家专业分包商（具备所分包工程相应资质和实际施工能力）资料供发包人审定后方可签定分包合同。未经发包人同意不得分包。若承包人未经发包人确认擅自确定专业分包单位，发包人首先给予书面警告，若承包人仍不整改，则发包人将对该专业分包工程不予验收和计量支付。 </w:t>
      </w:r>
    </w:p>
    <w:p w14:paraId="01A19DD9">
      <w:pPr>
        <w:rPr>
          <w:rFonts w:ascii="宋体" w:hAnsi="宋体"/>
          <w:szCs w:val="21"/>
          <w:highlight w:val="none"/>
        </w:rPr>
      </w:pPr>
      <w:bookmarkStart w:id="199" w:name="_Toc25925"/>
      <w:bookmarkStart w:id="200" w:name="_Toc334014593"/>
      <w:bookmarkStart w:id="201" w:name="_Toc273290660"/>
      <w:bookmarkStart w:id="202" w:name="_Toc44235691"/>
      <w:bookmarkStart w:id="203" w:name="_Toc461980433"/>
      <w:bookmarkStart w:id="204" w:name="_Toc520715096"/>
      <w:bookmarkStart w:id="205" w:name="_Toc263775792"/>
      <w:bookmarkStart w:id="206" w:name="_Toc271290637"/>
      <w:r>
        <w:rPr>
          <w:rFonts w:hint="eastAsia" w:ascii="宋体" w:hAnsi="宋体"/>
          <w:szCs w:val="21"/>
          <w:highlight w:val="none"/>
        </w:rPr>
        <w:t>7.4 分包工程价款结算与支付</w:t>
      </w:r>
      <w:bookmarkEnd w:id="199"/>
      <w:bookmarkEnd w:id="200"/>
      <w:bookmarkEnd w:id="201"/>
      <w:bookmarkEnd w:id="202"/>
      <w:bookmarkEnd w:id="203"/>
      <w:bookmarkEnd w:id="204"/>
      <w:bookmarkEnd w:id="205"/>
      <w:bookmarkEnd w:id="206"/>
      <w:r>
        <w:rPr>
          <w:rFonts w:hint="eastAsia" w:ascii="宋体" w:hAnsi="宋体"/>
          <w:szCs w:val="21"/>
          <w:highlight w:val="none"/>
        </w:rPr>
        <w:t xml:space="preserve"> </w:t>
      </w:r>
    </w:p>
    <w:p w14:paraId="70976560">
      <w:pPr>
        <w:spacing w:line="360" w:lineRule="auto"/>
        <w:ind w:firstLine="420" w:firstLineChars="200"/>
        <w:rPr>
          <w:rFonts w:ascii="宋体" w:hAnsi="宋体"/>
          <w:szCs w:val="21"/>
          <w:highlight w:val="none"/>
        </w:rPr>
      </w:pPr>
      <w:r>
        <w:rPr>
          <w:rFonts w:hint="eastAsia" w:ascii="宋体" w:hAnsi="宋体"/>
          <w:szCs w:val="21"/>
          <w:highlight w:val="none"/>
        </w:rPr>
        <w:t>分包工程价款的支付方式：发包人将分包工程款按协议书所注明的银行账号以转帐的方式全部支付给承包人。</w:t>
      </w:r>
    </w:p>
    <w:p w14:paraId="372A78A8">
      <w:pPr>
        <w:rPr>
          <w:rFonts w:ascii="宋体" w:hAnsi="宋体"/>
          <w:szCs w:val="21"/>
          <w:highlight w:val="none"/>
        </w:rPr>
      </w:pPr>
      <w:bookmarkStart w:id="207" w:name="_Toc520715097"/>
      <w:bookmarkStart w:id="208" w:name="_Toc334014594"/>
      <w:bookmarkStart w:id="209" w:name="_Toc273290661"/>
      <w:bookmarkStart w:id="210" w:name="_Toc461980434"/>
      <w:bookmarkStart w:id="211" w:name="_Toc25350"/>
      <w:bookmarkStart w:id="212" w:name="_Toc44235692"/>
      <w:bookmarkStart w:id="213" w:name="_Toc271290638"/>
      <w:r>
        <w:rPr>
          <w:rFonts w:hint="eastAsia" w:ascii="宋体" w:hAnsi="宋体"/>
          <w:szCs w:val="21"/>
          <w:highlight w:val="none"/>
        </w:rPr>
        <w:t>7.5 分包工程责任和义务</w:t>
      </w:r>
      <w:bookmarkEnd w:id="207"/>
      <w:bookmarkEnd w:id="208"/>
      <w:bookmarkEnd w:id="209"/>
      <w:bookmarkEnd w:id="210"/>
      <w:bookmarkEnd w:id="211"/>
      <w:bookmarkEnd w:id="212"/>
      <w:bookmarkEnd w:id="213"/>
      <w:r>
        <w:rPr>
          <w:rFonts w:hint="eastAsia" w:ascii="宋体" w:hAnsi="宋体"/>
          <w:szCs w:val="21"/>
          <w:highlight w:val="none"/>
        </w:rPr>
        <w:t xml:space="preserve"> </w:t>
      </w:r>
    </w:p>
    <w:p w14:paraId="388C4940">
      <w:pPr>
        <w:spacing w:line="360" w:lineRule="auto"/>
        <w:ind w:firstLine="420" w:firstLineChars="200"/>
        <w:rPr>
          <w:rFonts w:ascii="宋体" w:hAnsi="宋体"/>
          <w:szCs w:val="21"/>
          <w:highlight w:val="none"/>
        </w:rPr>
      </w:pPr>
      <w:r>
        <w:rPr>
          <w:rFonts w:hint="eastAsia" w:ascii="宋体" w:hAnsi="宋体"/>
          <w:szCs w:val="21"/>
          <w:highlight w:val="none"/>
        </w:rPr>
        <w:t>本款文末增加如下内容：</w:t>
      </w:r>
    </w:p>
    <w:p w14:paraId="7933262E">
      <w:pPr>
        <w:spacing w:line="360" w:lineRule="auto"/>
        <w:ind w:firstLine="420" w:firstLineChars="200"/>
        <w:rPr>
          <w:rFonts w:ascii="宋体" w:hAnsi="宋体"/>
          <w:szCs w:val="21"/>
          <w:highlight w:val="none"/>
        </w:rPr>
      </w:pPr>
      <w:r>
        <w:rPr>
          <w:rFonts w:hint="eastAsia" w:ascii="宋体" w:hAnsi="宋体"/>
          <w:szCs w:val="21"/>
          <w:highlight w:val="none"/>
        </w:rPr>
        <w:t>7.5.1 专业分包单位是指承包人经发包人确认后将招标范围内部分专业性较强或承包人无该分项专业资质的工程内容自行发包选定的分包单位。</w:t>
      </w:r>
    </w:p>
    <w:p w14:paraId="3282A464">
      <w:pPr>
        <w:spacing w:line="360" w:lineRule="auto"/>
        <w:ind w:firstLine="420" w:firstLineChars="200"/>
        <w:rPr>
          <w:rFonts w:ascii="宋体" w:hAnsi="宋体"/>
          <w:szCs w:val="21"/>
          <w:highlight w:val="none"/>
        </w:rPr>
      </w:pPr>
      <w:r>
        <w:rPr>
          <w:rFonts w:hint="eastAsia" w:ascii="宋体" w:hAnsi="宋体"/>
          <w:szCs w:val="21"/>
          <w:highlight w:val="none"/>
        </w:rPr>
        <w:t>7.5.2 专业承包单位是指发包人在总体工程中将部分专业性较强的工程内容，按国家及省市相关法律法规的规定通过招投标或采购另行选定的工程承包人。</w:t>
      </w:r>
    </w:p>
    <w:p w14:paraId="053B0D88">
      <w:pPr>
        <w:spacing w:line="360" w:lineRule="auto"/>
        <w:ind w:firstLine="420" w:firstLineChars="200"/>
        <w:rPr>
          <w:rFonts w:ascii="宋体" w:hAnsi="宋体"/>
          <w:szCs w:val="21"/>
          <w:highlight w:val="none"/>
        </w:rPr>
      </w:pPr>
      <w:r>
        <w:rPr>
          <w:rFonts w:hint="eastAsia" w:ascii="宋体" w:hAnsi="宋体"/>
          <w:szCs w:val="21"/>
          <w:highlight w:val="none"/>
        </w:rPr>
        <w:t>7.5.3 经发包人同意分包时，承包人作为总承包单位，其责任有：</w:t>
      </w:r>
    </w:p>
    <w:p w14:paraId="3DFC62C8">
      <w:pPr>
        <w:spacing w:line="360" w:lineRule="auto"/>
        <w:ind w:firstLine="420" w:firstLineChars="200"/>
        <w:rPr>
          <w:rFonts w:ascii="宋体" w:hAnsi="宋体"/>
          <w:szCs w:val="21"/>
          <w:highlight w:val="none"/>
        </w:rPr>
      </w:pPr>
      <w:r>
        <w:rPr>
          <w:rFonts w:hint="eastAsia" w:ascii="宋体" w:hAnsi="宋体"/>
          <w:szCs w:val="21"/>
          <w:highlight w:val="none"/>
        </w:rPr>
        <w:t>（1）对工程的工期、质量、造价和交付使用后的保修向发包人负责。专业分包单位按合同规定，对其分包的工程向承包人负责。</w:t>
      </w:r>
    </w:p>
    <w:p w14:paraId="548220F6">
      <w:pPr>
        <w:spacing w:line="360" w:lineRule="auto"/>
        <w:ind w:firstLine="420" w:firstLineChars="200"/>
        <w:rPr>
          <w:rFonts w:ascii="宋体" w:hAnsi="宋体"/>
          <w:szCs w:val="21"/>
          <w:highlight w:val="none"/>
        </w:rPr>
      </w:pPr>
      <w:r>
        <w:rPr>
          <w:rFonts w:hint="eastAsia" w:ascii="宋体" w:hAnsi="宋体"/>
          <w:szCs w:val="21"/>
          <w:highlight w:val="none"/>
        </w:rPr>
        <w:t>（2）负责编制施工组织总设计，全面负责工程进度、工程质量、施工技术、安全生产等管理工作。</w:t>
      </w:r>
    </w:p>
    <w:p w14:paraId="64714302">
      <w:pPr>
        <w:spacing w:line="360" w:lineRule="auto"/>
        <w:ind w:firstLine="420" w:firstLineChars="200"/>
        <w:rPr>
          <w:rFonts w:ascii="宋体" w:hAnsi="宋体"/>
          <w:szCs w:val="21"/>
          <w:highlight w:val="none"/>
        </w:rPr>
      </w:pPr>
      <w:r>
        <w:rPr>
          <w:rFonts w:hint="eastAsia" w:ascii="宋体" w:hAnsi="宋体"/>
          <w:szCs w:val="21"/>
          <w:highlight w:val="none"/>
        </w:rPr>
        <w:t>（3）统一向发包人领取工程技术文件和施工图纸，按时供应给专业分包单位。</w:t>
      </w:r>
    </w:p>
    <w:p w14:paraId="519A54C9">
      <w:pPr>
        <w:spacing w:line="360" w:lineRule="auto"/>
        <w:ind w:firstLine="420" w:firstLineChars="200"/>
        <w:rPr>
          <w:rFonts w:ascii="宋体" w:hAnsi="宋体"/>
          <w:szCs w:val="21"/>
          <w:highlight w:val="none"/>
        </w:rPr>
      </w:pPr>
      <w:r>
        <w:rPr>
          <w:rFonts w:hint="eastAsia" w:ascii="宋体" w:hAnsi="宋体"/>
          <w:szCs w:val="21"/>
          <w:highlight w:val="none"/>
        </w:rPr>
        <w:t>（4）统筹安排专业分包单位的生产、生活临时设施。</w:t>
      </w:r>
    </w:p>
    <w:p w14:paraId="545D7E19">
      <w:pPr>
        <w:spacing w:line="360" w:lineRule="auto"/>
        <w:ind w:firstLine="420" w:firstLineChars="200"/>
        <w:rPr>
          <w:rFonts w:ascii="宋体" w:hAnsi="宋体"/>
          <w:szCs w:val="21"/>
          <w:highlight w:val="none"/>
        </w:rPr>
      </w:pPr>
      <w:r>
        <w:rPr>
          <w:rFonts w:hint="eastAsia" w:ascii="宋体" w:hAnsi="宋体"/>
          <w:szCs w:val="21"/>
          <w:highlight w:val="none"/>
        </w:rPr>
        <w:t xml:space="preserve">（5）负责编制阶段工程预算、结算；并统一组织专业分包单位编制分包工程结算，仍由承包人报送。 </w:t>
      </w:r>
    </w:p>
    <w:p w14:paraId="0BB4925D">
      <w:pPr>
        <w:spacing w:line="360" w:lineRule="auto"/>
        <w:ind w:firstLine="420" w:firstLineChars="200"/>
        <w:rPr>
          <w:rFonts w:ascii="宋体" w:hAnsi="宋体"/>
          <w:szCs w:val="21"/>
          <w:highlight w:val="none"/>
        </w:rPr>
      </w:pPr>
      <w:r>
        <w:rPr>
          <w:rFonts w:hint="eastAsia" w:ascii="宋体" w:hAnsi="宋体"/>
          <w:szCs w:val="21"/>
          <w:highlight w:val="none"/>
        </w:rPr>
        <w:t>（6）负责单位工程竣工验收资料的统一整理、报送、归档。统一组织各专业分包单位编制工程竣工验收资料。</w:t>
      </w:r>
    </w:p>
    <w:p w14:paraId="5E677512">
      <w:pPr>
        <w:spacing w:line="360" w:lineRule="auto"/>
        <w:ind w:firstLine="420" w:firstLineChars="200"/>
        <w:rPr>
          <w:rFonts w:ascii="宋体" w:hAnsi="宋体"/>
          <w:szCs w:val="21"/>
          <w:highlight w:val="none"/>
        </w:rPr>
      </w:pPr>
      <w:r>
        <w:rPr>
          <w:rFonts w:hint="eastAsia" w:ascii="宋体" w:hAnsi="宋体"/>
          <w:szCs w:val="21"/>
          <w:highlight w:val="none"/>
        </w:rPr>
        <w:t xml:space="preserve">（7）分包工程经检验评定后，由承包人和专业分包单位在评定书上签字，作为专业分包单位向承包人交工的证件。 </w:t>
      </w:r>
    </w:p>
    <w:p w14:paraId="45606938">
      <w:pPr>
        <w:spacing w:line="360" w:lineRule="auto"/>
        <w:ind w:firstLine="420" w:firstLineChars="200"/>
        <w:rPr>
          <w:rFonts w:ascii="宋体" w:hAnsi="宋体"/>
          <w:szCs w:val="21"/>
          <w:highlight w:val="none"/>
        </w:rPr>
      </w:pPr>
      <w:r>
        <w:rPr>
          <w:rFonts w:hint="eastAsia" w:ascii="宋体" w:hAnsi="宋体"/>
          <w:szCs w:val="21"/>
          <w:highlight w:val="none"/>
        </w:rPr>
        <w:t xml:space="preserve">（8）承包人影响分包合同履行，并给专业分包单位造成损失时，由承包人向专业分包单位负责赔偿，在承包人没有履行赔偿时由发包人处理，处理结果承包人无条件接受。属于发包人的原因致使分包合同不能履行时，承包人先对专业分包单位赔偿损失，再依据总包合同规定处理。 </w:t>
      </w:r>
    </w:p>
    <w:p w14:paraId="41FD9BC6">
      <w:pPr>
        <w:spacing w:line="360" w:lineRule="auto"/>
        <w:ind w:firstLine="420" w:firstLineChars="200"/>
        <w:rPr>
          <w:rFonts w:ascii="宋体" w:hAnsi="宋体"/>
          <w:szCs w:val="21"/>
          <w:highlight w:val="none"/>
        </w:rPr>
      </w:pPr>
      <w:r>
        <w:rPr>
          <w:rFonts w:hint="eastAsia" w:ascii="宋体" w:hAnsi="宋体"/>
          <w:szCs w:val="21"/>
          <w:highlight w:val="none"/>
        </w:rPr>
        <w:t xml:space="preserve">（9）按发包人要求负责为甲供设备进场提供场地及工作面，并协助配合甲供设备进场时在工地现场内的卸车、吊运、搬运、移接收、保管和安装。 （由承包人负责安装的甲供设备由承包人负责保管）。 </w:t>
      </w:r>
    </w:p>
    <w:p w14:paraId="1273AB92">
      <w:pPr>
        <w:spacing w:line="360" w:lineRule="auto"/>
        <w:ind w:firstLine="420" w:firstLineChars="200"/>
        <w:rPr>
          <w:rFonts w:ascii="宋体" w:hAnsi="宋体"/>
          <w:szCs w:val="21"/>
          <w:highlight w:val="none"/>
        </w:rPr>
      </w:pPr>
      <w:r>
        <w:rPr>
          <w:rFonts w:hint="eastAsia" w:ascii="宋体" w:hAnsi="宋体"/>
          <w:szCs w:val="21"/>
          <w:highlight w:val="none"/>
        </w:rPr>
        <w:t xml:space="preserve">（10）负责施工场地内的清洁及保安。现场清洁及保安由承包人统一负责，各专业分包单位应服从承包人的管理，原则上各分包单位负责将每天产生的垃圾收集清运到指定地点后由承包人统一负责清运，承包人负责工地现场及临舍内的治安及工地现场材料进出场登记管理， 对于施工现场、 各分包单位工程材料、设备，仍由各专业分包单位负责。 </w:t>
      </w:r>
    </w:p>
    <w:p w14:paraId="59AAACFA">
      <w:pPr>
        <w:spacing w:line="360" w:lineRule="auto"/>
        <w:ind w:firstLine="420" w:firstLineChars="200"/>
        <w:rPr>
          <w:rFonts w:ascii="宋体" w:hAnsi="宋体"/>
          <w:szCs w:val="21"/>
          <w:highlight w:val="none"/>
        </w:rPr>
      </w:pPr>
      <w:r>
        <w:rPr>
          <w:rFonts w:hint="eastAsia" w:ascii="宋体" w:hAnsi="宋体"/>
          <w:szCs w:val="21"/>
          <w:highlight w:val="none"/>
        </w:rPr>
        <w:t>（11） 负责管理和配合专业承包单位按施工图纸要求预留、 开设设备及管线的洞口，按规范和图纸要求封堵设备管线洞口，修补缺陷，防漏治漏等。</w:t>
      </w:r>
    </w:p>
    <w:p w14:paraId="53340D23">
      <w:pPr>
        <w:spacing w:line="360" w:lineRule="auto"/>
        <w:ind w:firstLine="420" w:firstLineChars="200"/>
        <w:rPr>
          <w:rFonts w:ascii="宋体" w:hAnsi="宋体"/>
          <w:szCs w:val="21"/>
          <w:highlight w:val="none"/>
        </w:rPr>
      </w:pPr>
      <w:r>
        <w:rPr>
          <w:rFonts w:hint="eastAsia" w:ascii="宋体" w:hAnsi="宋体"/>
          <w:szCs w:val="21"/>
          <w:highlight w:val="none"/>
        </w:rPr>
        <w:t xml:space="preserve">（12）承包人对其预埋的各种管线（含线缆）应保证线路畅通和质量合格，设备基础符合各专业工程设计图纸并质量检验合格，中间检验合格后移交给各专业承包单位并办理相应的书面移交手续，承包人移交给专业承包单位前，由总承包单位对该部分工程质量负责，移交后，由专业承包单位对该部分工程质量负责。 </w:t>
      </w:r>
    </w:p>
    <w:p w14:paraId="3501025D">
      <w:pPr>
        <w:spacing w:line="360" w:lineRule="auto"/>
        <w:ind w:firstLine="420" w:firstLineChars="200"/>
        <w:rPr>
          <w:rFonts w:ascii="宋体" w:hAnsi="宋体"/>
          <w:szCs w:val="21"/>
          <w:highlight w:val="none"/>
        </w:rPr>
      </w:pPr>
      <w:r>
        <w:rPr>
          <w:rFonts w:hint="eastAsia" w:ascii="宋体" w:hAnsi="宋体"/>
          <w:szCs w:val="21"/>
          <w:highlight w:val="none"/>
        </w:rPr>
        <w:t>7.5.4 承包人施工过程中（总工期内），如果涉及与发包人另行招标或采购的专业承包单位的现场管理配合情况时，承包人应承担与其所负责任（含在总工期内与其它各标段、各专业承包单位的现场管理配合等）有关的各种费用，包括总工期内与各专业承包单位的配合费、管理费等费用。其费用已包括在合同价款中，承包人不得再向专业承包单位收取有关总包费用。由于施工现场专业承包工程管理配合及清洁保安内容较多，对于上述未明确的事项，承包人及各专业承包单位应服从发包人及监理单位的指挥和协调，承包人及各专业承包单位在上述问题上存在分歧，可由发包人及监理单位协调确定，各承包单位应无条件服从，否则发包人有权对有关单位进行处罚。承包人应按汕头市建设行政主管部门及发包人的要求搭建临时设施，并做好现场安全文明施工，否则发包人将按相关规定从安全文明施工费用中扣除。</w:t>
      </w:r>
    </w:p>
    <w:p w14:paraId="3B7F8C61">
      <w:pPr>
        <w:pStyle w:val="6"/>
        <w:rPr>
          <w:szCs w:val="24"/>
          <w:highlight w:val="none"/>
        </w:rPr>
      </w:pPr>
      <w:bookmarkStart w:id="214" w:name="_Toc254775508"/>
      <w:bookmarkStart w:id="215" w:name="_Toc520715098"/>
      <w:bookmarkStart w:id="216" w:name="_Toc461980435"/>
      <w:bookmarkStart w:id="217" w:name="_Toc273290662"/>
      <w:bookmarkStart w:id="218" w:name="_Toc271290639"/>
      <w:bookmarkStart w:id="219" w:name="_Toc17415"/>
      <w:r>
        <w:rPr>
          <w:rFonts w:hint="eastAsia"/>
          <w:szCs w:val="24"/>
          <w:highlight w:val="none"/>
        </w:rPr>
        <w:t>9、招标错失的修正</w:t>
      </w:r>
      <w:bookmarkEnd w:id="214"/>
      <w:bookmarkEnd w:id="215"/>
      <w:bookmarkEnd w:id="216"/>
      <w:bookmarkEnd w:id="217"/>
      <w:bookmarkEnd w:id="218"/>
      <w:bookmarkEnd w:id="219"/>
    </w:p>
    <w:p w14:paraId="40EA4DB0">
      <w:pPr>
        <w:spacing w:line="360" w:lineRule="auto"/>
        <w:ind w:firstLine="420" w:firstLineChars="200"/>
        <w:rPr>
          <w:rFonts w:ascii="宋体" w:hAnsi="宋体"/>
          <w:szCs w:val="21"/>
          <w:highlight w:val="none"/>
        </w:rPr>
      </w:pPr>
      <w:bookmarkStart w:id="220" w:name="_Toc44235693"/>
      <w:bookmarkStart w:id="221" w:name="_Toc8747"/>
      <w:bookmarkStart w:id="222" w:name="_Toc334014596"/>
      <w:bookmarkStart w:id="223" w:name="_Toc273290663"/>
      <w:bookmarkStart w:id="224" w:name="_Toc461980436"/>
      <w:bookmarkStart w:id="225" w:name="_Toc271290640"/>
      <w:bookmarkStart w:id="226" w:name="_Toc520715099"/>
      <w:r>
        <w:rPr>
          <w:rFonts w:hint="eastAsia" w:ascii="宋体" w:hAnsi="宋体"/>
          <w:szCs w:val="21"/>
          <w:highlight w:val="none"/>
        </w:rPr>
        <w:t>9.2 工程量清单准确性和修正</w:t>
      </w:r>
      <w:bookmarkEnd w:id="220"/>
      <w:bookmarkEnd w:id="221"/>
      <w:bookmarkEnd w:id="222"/>
      <w:bookmarkEnd w:id="223"/>
      <w:bookmarkEnd w:id="224"/>
      <w:bookmarkEnd w:id="225"/>
      <w:bookmarkEnd w:id="226"/>
      <w:r>
        <w:rPr>
          <w:rFonts w:hint="eastAsia" w:ascii="宋体" w:hAnsi="宋体"/>
          <w:szCs w:val="21"/>
          <w:highlight w:val="none"/>
        </w:rPr>
        <w:t xml:space="preserve"> </w:t>
      </w:r>
    </w:p>
    <w:p w14:paraId="593E469E">
      <w:pPr>
        <w:spacing w:line="360" w:lineRule="auto"/>
        <w:ind w:firstLine="420" w:firstLineChars="200"/>
        <w:rPr>
          <w:rFonts w:ascii="宋体" w:hAnsi="宋体"/>
          <w:szCs w:val="21"/>
          <w:highlight w:val="none"/>
        </w:rPr>
      </w:pPr>
      <w:r>
        <w:rPr>
          <w:rFonts w:hint="eastAsia" w:ascii="宋体" w:hAnsi="宋体"/>
          <w:szCs w:val="21"/>
          <w:highlight w:val="none"/>
        </w:rPr>
        <w:t xml:space="preserve">本款更改为： </w:t>
      </w:r>
    </w:p>
    <w:p w14:paraId="314EB2F0">
      <w:pPr>
        <w:spacing w:line="360" w:lineRule="auto"/>
        <w:ind w:firstLine="422" w:firstLineChars="200"/>
        <w:rPr>
          <w:rFonts w:ascii="宋体" w:hAnsi="宋体"/>
          <w:b/>
          <w:szCs w:val="21"/>
          <w:highlight w:val="none"/>
        </w:rPr>
      </w:pPr>
      <w:r>
        <w:rPr>
          <w:rFonts w:hint="eastAsia" w:ascii="宋体" w:hAnsi="宋体"/>
          <w:b/>
          <w:szCs w:val="21"/>
          <w:highlight w:val="none"/>
        </w:rPr>
        <w:t xml:space="preserve">发包人招标文件提供的工程量清单及其招标控制价等资料，应被认为是准确的和完整的。但发包人在工程量清单中对项目特征的描述，不应被认为是准确和全面的，并且与实际施工要求不一定相符合。当出现下列情形之一的，发包人应及时予以修正，并相应调整合同价款： </w:t>
      </w:r>
    </w:p>
    <w:p w14:paraId="644C0B47">
      <w:pPr>
        <w:spacing w:line="360" w:lineRule="auto"/>
        <w:ind w:firstLine="316" w:firstLineChars="150"/>
        <w:rPr>
          <w:rFonts w:ascii="宋体" w:hAnsi="宋体"/>
          <w:b/>
          <w:szCs w:val="21"/>
          <w:highlight w:val="none"/>
        </w:rPr>
      </w:pPr>
      <w:r>
        <w:rPr>
          <w:rFonts w:hint="eastAsia" w:ascii="宋体" w:hAnsi="宋体"/>
          <w:b/>
          <w:szCs w:val="21"/>
          <w:highlight w:val="none"/>
        </w:rPr>
        <w:t xml:space="preserve">（1）施工设计图纸发生变化的； </w:t>
      </w:r>
    </w:p>
    <w:p w14:paraId="1A79ACC5">
      <w:pPr>
        <w:spacing w:line="360" w:lineRule="auto"/>
        <w:ind w:firstLine="316" w:firstLineChars="150"/>
        <w:rPr>
          <w:rFonts w:ascii="宋体" w:hAnsi="宋体"/>
          <w:b/>
          <w:szCs w:val="21"/>
          <w:highlight w:val="none"/>
        </w:rPr>
      </w:pPr>
      <w:r>
        <w:rPr>
          <w:rFonts w:hint="eastAsia" w:ascii="宋体" w:hAnsi="宋体"/>
          <w:b/>
          <w:szCs w:val="21"/>
          <w:highlight w:val="none"/>
        </w:rPr>
        <w:t xml:space="preserve">（2）出现第 68.2 款规定调整合同价款事件的。 </w:t>
      </w:r>
    </w:p>
    <w:p w14:paraId="37AC90DD">
      <w:pPr>
        <w:spacing w:line="360" w:lineRule="auto"/>
        <w:ind w:firstLine="316" w:firstLineChars="150"/>
        <w:rPr>
          <w:rFonts w:ascii="宋体" w:hAnsi="宋体"/>
          <w:szCs w:val="21"/>
          <w:highlight w:val="none"/>
        </w:rPr>
      </w:pPr>
      <w:r>
        <w:rPr>
          <w:rFonts w:hint="eastAsia" w:ascii="宋体" w:hAnsi="宋体"/>
          <w:b/>
          <w:szCs w:val="21"/>
          <w:highlight w:val="none"/>
        </w:rPr>
        <w:t>工程量清单未按照国家、省有关计价规定编制而导致出现本合同专用条款第 71 条和第 73 条约定的重大漏项漏量事件时，按专用条款第 71 条和第73条中的相关约定处理。</w:t>
      </w:r>
    </w:p>
    <w:p w14:paraId="10114086">
      <w:pPr>
        <w:pStyle w:val="6"/>
        <w:rPr>
          <w:szCs w:val="24"/>
          <w:highlight w:val="none"/>
        </w:rPr>
      </w:pPr>
      <w:bookmarkStart w:id="227" w:name="_Toc271290641"/>
      <w:bookmarkStart w:id="228" w:name="_Toc461980437"/>
      <w:bookmarkStart w:id="229" w:name="_Toc520715100"/>
      <w:bookmarkStart w:id="230" w:name="_Toc273290664"/>
      <w:bookmarkStart w:id="231" w:name="_Toc5243"/>
      <w:r>
        <w:rPr>
          <w:rFonts w:hint="eastAsia"/>
          <w:szCs w:val="24"/>
          <w:highlight w:val="none"/>
        </w:rPr>
        <w:t>10、投标文件的完备性</w:t>
      </w:r>
      <w:bookmarkEnd w:id="227"/>
      <w:bookmarkEnd w:id="228"/>
      <w:bookmarkEnd w:id="229"/>
      <w:bookmarkEnd w:id="230"/>
      <w:bookmarkEnd w:id="231"/>
    </w:p>
    <w:p w14:paraId="44450752">
      <w:pPr>
        <w:rPr>
          <w:rFonts w:ascii="宋体" w:hAnsi="宋体"/>
          <w:szCs w:val="21"/>
          <w:highlight w:val="none"/>
        </w:rPr>
      </w:pPr>
      <w:r>
        <w:rPr>
          <w:rFonts w:hint="eastAsia" w:ascii="宋体" w:hAnsi="宋体"/>
          <w:szCs w:val="21"/>
          <w:highlight w:val="none"/>
        </w:rPr>
        <w:t xml:space="preserve"> </w:t>
      </w:r>
      <w:bookmarkStart w:id="232" w:name="_Toc44235694"/>
      <w:bookmarkStart w:id="233" w:name="_Toc9924"/>
      <w:bookmarkStart w:id="234" w:name="_Toc334014598"/>
      <w:bookmarkStart w:id="235" w:name="_Toc263775795"/>
      <w:bookmarkStart w:id="236" w:name="_Toc520715101"/>
      <w:bookmarkStart w:id="237" w:name="_Toc461980438"/>
      <w:bookmarkStart w:id="238" w:name="_Toc271290642"/>
      <w:bookmarkStart w:id="239" w:name="_Toc273290665"/>
      <w:r>
        <w:rPr>
          <w:rFonts w:hint="eastAsia" w:ascii="宋体" w:hAnsi="宋体"/>
          <w:szCs w:val="21"/>
          <w:highlight w:val="none"/>
        </w:rPr>
        <w:t>10.1</w:t>
      </w:r>
      <w:r>
        <w:rPr>
          <w:rFonts w:ascii="宋体" w:hAnsi="宋体"/>
          <w:szCs w:val="21"/>
          <w:highlight w:val="none"/>
        </w:rPr>
        <w:t xml:space="preserve"> </w:t>
      </w:r>
      <w:r>
        <w:rPr>
          <w:rFonts w:hint="eastAsia" w:ascii="宋体" w:hAnsi="宋体"/>
          <w:szCs w:val="21"/>
          <w:highlight w:val="none"/>
        </w:rPr>
        <w:t xml:space="preserve"> 投标文件完备性和义务</w:t>
      </w:r>
      <w:bookmarkEnd w:id="232"/>
      <w:bookmarkEnd w:id="233"/>
      <w:bookmarkEnd w:id="234"/>
      <w:bookmarkEnd w:id="235"/>
      <w:bookmarkEnd w:id="236"/>
      <w:bookmarkEnd w:id="237"/>
      <w:bookmarkEnd w:id="238"/>
      <w:bookmarkEnd w:id="239"/>
    </w:p>
    <w:p w14:paraId="5CC1745A">
      <w:pPr>
        <w:spacing w:line="360" w:lineRule="auto"/>
        <w:ind w:firstLine="525" w:firstLineChars="250"/>
        <w:rPr>
          <w:rFonts w:ascii="宋体" w:hAnsi="宋体"/>
          <w:szCs w:val="21"/>
          <w:highlight w:val="none"/>
        </w:rPr>
      </w:pPr>
      <w:r>
        <w:rPr>
          <w:rFonts w:hint="eastAsia" w:ascii="宋体" w:hAnsi="宋体"/>
          <w:szCs w:val="21"/>
          <w:highlight w:val="none"/>
        </w:rPr>
        <w:t xml:space="preserve">本款文末增加第（4）项： </w:t>
      </w:r>
    </w:p>
    <w:p w14:paraId="0481BEF9">
      <w:pPr>
        <w:spacing w:line="360" w:lineRule="auto"/>
        <w:ind w:firstLine="316" w:firstLineChars="150"/>
        <w:rPr>
          <w:rFonts w:ascii="宋体" w:hAnsi="宋体"/>
          <w:b/>
          <w:szCs w:val="21"/>
          <w:highlight w:val="none"/>
        </w:rPr>
      </w:pPr>
      <w:r>
        <w:rPr>
          <w:rFonts w:hint="eastAsia" w:ascii="宋体" w:hAnsi="宋体"/>
          <w:b/>
          <w:szCs w:val="21"/>
          <w:highlight w:val="none"/>
        </w:rPr>
        <w:t>（4）招标文件及合同条款中约定由承包人负责的工作或对承包人提出的要求。</w:t>
      </w:r>
    </w:p>
    <w:p w14:paraId="605907EA">
      <w:pPr>
        <w:rPr>
          <w:rFonts w:ascii="宋体" w:hAnsi="宋体"/>
          <w:highlight w:val="none"/>
        </w:rPr>
      </w:pPr>
      <w:bookmarkStart w:id="240" w:name="_Toc44235695"/>
      <w:bookmarkStart w:id="241" w:name="_Toc520715102"/>
      <w:bookmarkStart w:id="242" w:name="_Toc334014599"/>
      <w:bookmarkStart w:id="243" w:name="_Toc461980439"/>
      <w:bookmarkStart w:id="244" w:name="_Toc271290643"/>
      <w:bookmarkStart w:id="245" w:name="_Toc273290666"/>
      <w:bookmarkStart w:id="246" w:name="_Toc263775796"/>
      <w:bookmarkStart w:id="247" w:name="_Toc17902"/>
      <w:r>
        <w:rPr>
          <w:rFonts w:hint="eastAsia" w:ascii="宋体" w:hAnsi="宋体"/>
          <w:highlight w:val="none"/>
        </w:rPr>
        <w:t>10.3  算术性错误的调整</w:t>
      </w:r>
      <w:bookmarkEnd w:id="240"/>
      <w:bookmarkEnd w:id="241"/>
      <w:bookmarkEnd w:id="242"/>
      <w:bookmarkEnd w:id="243"/>
      <w:bookmarkEnd w:id="244"/>
      <w:bookmarkEnd w:id="245"/>
      <w:bookmarkEnd w:id="246"/>
      <w:bookmarkEnd w:id="247"/>
    </w:p>
    <w:p w14:paraId="2BCCDDC8">
      <w:pPr>
        <w:spacing w:line="360" w:lineRule="auto"/>
        <w:rPr>
          <w:rFonts w:ascii="宋体" w:hAnsi="宋体"/>
          <w:highlight w:val="none"/>
        </w:rPr>
      </w:pPr>
      <w:r>
        <w:rPr>
          <w:rFonts w:hint="eastAsia" w:ascii="宋体" w:hAnsi="宋体"/>
          <w:highlight w:val="none"/>
        </w:rPr>
        <w:t xml:space="preserve">     整条删改为：</w:t>
      </w:r>
    </w:p>
    <w:p w14:paraId="693E1DDB">
      <w:pPr>
        <w:spacing w:line="360" w:lineRule="auto"/>
        <w:ind w:firstLine="422" w:firstLineChars="200"/>
        <w:rPr>
          <w:rFonts w:ascii="宋体" w:hAnsi="宋体"/>
          <w:b/>
          <w:szCs w:val="21"/>
          <w:highlight w:val="none"/>
        </w:rPr>
      </w:pPr>
      <w:r>
        <w:rPr>
          <w:rFonts w:hint="eastAsia" w:ascii="宋体" w:hAnsi="宋体"/>
          <w:b/>
          <w:szCs w:val="21"/>
          <w:highlight w:val="none"/>
        </w:rPr>
        <w:t>承包人投标文件中出现算术性错误，导致其实际总造价与报价总金额不一致时，合同双方当事人可按照国家、省有关规定予以修正，修正原则如下：</w:t>
      </w:r>
    </w:p>
    <w:p w14:paraId="28C3BD0C">
      <w:pPr>
        <w:spacing w:line="360" w:lineRule="auto"/>
        <w:ind w:firstLine="422" w:firstLineChars="200"/>
        <w:rPr>
          <w:rFonts w:ascii="宋体" w:hAnsi="宋体"/>
          <w:b/>
          <w:szCs w:val="21"/>
          <w:highlight w:val="none"/>
        </w:rPr>
      </w:pPr>
      <w:r>
        <w:rPr>
          <w:rFonts w:hint="eastAsia" w:ascii="宋体" w:hAnsi="宋体"/>
          <w:b/>
          <w:szCs w:val="21"/>
          <w:highlight w:val="none"/>
        </w:rPr>
        <w:t>（1） 保持中标总价不变，只对工程量清单中的综合单价或合价作出修正；</w:t>
      </w:r>
    </w:p>
    <w:p w14:paraId="4AB3F47D">
      <w:pPr>
        <w:spacing w:line="360" w:lineRule="auto"/>
        <w:ind w:firstLine="422" w:firstLineChars="200"/>
        <w:rPr>
          <w:rFonts w:ascii="宋体" w:hAnsi="宋体"/>
          <w:b/>
          <w:szCs w:val="21"/>
          <w:highlight w:val="none"/>
        </w:rPr>
      </w:pPr>
      <w:r>
        <w:rPr>
          <w:rFonts w:hint="eastAsia" w:ascii="宋体" w:hAnsi="宋体"/>
          <w:b/>
          <w:szCs w:val="21"/>
          <w:highlight w:val="none"/>
        </w:rPr>
        <w:t>（2）当以数字表示的金额与以文字表示的金额有差异时，以文字表示的金额为准；</w:t>
      </w:r>
    </w:p>
    <w:p w14:paraId="1D6D75F3">
      <w:pPr>
        <w:spacing w:line="360" w:lineRule="auto"/>
        <w:ind w:firstLine="422" w:firstLineChars="200"/>
        <w:rPr>
          <w:rFonts w:ascii="宋体" w:hAnsi="宋体"/>
          <w:b/>
          <w:szCs w:val="21"/>
          <w:highlight w:val="none"/>
        </w:rPr>
      </w:pPr>
      <w:r>
        <w:rPr>
          <w:rFonts w:hint="eastAsia" w:ascii="宋体" w:hAnsi="宋体"/>
          <w:b/>
          <w:szCs w:val="21"/>
          <w:highlight w:val="none"/>
        </w:rPr>
        <w:t>（3）当综合单价与工程量相乘不等于合价时，应在保持合价不变的前提下，以合价为准修正综合单价；</w:t>
      </w:r>
    </w:p>
    <w:p w14:paraId="7229428F">
      <w:pPr>
        <w:spacing w:line="360" w:lineRule="auto"/>
        <w:ind w:firstLine="422" w:firstLineChars="200"/>
        <w:rPr>
          <w:rFonts w:ascii="宋体" w:hAnsi="宋体"/>
          <w:b/>
          <w:szCs w:val="21"/>
          <w:highlight w:val="none"/>
        </w:rPr>
      </w:pPr>
      <w:r>
        <w:rPr>
          <w:rFonts w:hint="eastAsia" w:ascii="宋体" w:hAnsi="宋体"/>
          <w:b/>
          <w:szCs w:val="21"/>
          <w:highlight w:val="none"/>
        </w:rPr>
        <w:t>（4）当各项目的合价累计不等于总价时，应在保持总价不变的前提下，以总价为准修正各项目合价，并核准相应的综合单价。</w:t>
      </w:r>
    </w:p>
    <w:p w14:paraId="5662313D">
      <w:pPr>
        <w:spacing w:line="360" w:lineRule="auto"/>
        <w:ind w:firstLine="422" w:firstLineChars="200"/>
        <w:rPr>
          <w:rFonts w:ascii="宋体" w:hAnsi="宋体"/>
          <w:b/>
          <w:szCs w:val="21"/>
          <w:highlight w:val="none"/>
        </w:rPr>
      </w:pPr>
      <w:r>
        <w:rPr>
          <w:rFonts w:hint="eastAsia" w:ascii="宋体" w:hAnsi="宋体"/>
          <w:b/>
          <w:szCs w:val="21"/>
          <w:highlight w:val="none"/>
        </w:rPr>
        <w:t>（5）规费、税金按规定的费率或税率计算。</w:t>
      </w:r>
    </w:p>
    <w:p w14:paraId="63A1F859">
      <w:pPr>
        <w:spacing w:line="360" w:lineRule="auto"/>
        <w:ind w:firstLine="422" w:firstLineChars="200"/>
        <w:rPr>
          <w:rFonts w:ascii="宋体" w:hAnsi="宋体"/>
          <w:b/>
          <w:szCs w:val="21"/>
          <w:highlight w:val="none"/>
        </w:rPr>
      </w:pPr>
      <w:r>
        <w:rPr>
          <w:rFonts w:hint="eastAsia" w:ascii="宋体" w:hAnsi="宋体"/>
          <w:b/>
          <w:szCs w:val="21"/>
          <w:highlight w:val="none"/>
        </w:rPr>
        <w:t>按以上原则修正、调整后的综合单价若属于严重不平衡报价范围，按本合同专用条款第72.4款规定执行。</w:t>
      </w:r>
    </w:p>
    <w:p w14:paraId="2163D63F">
      <w:pPr>
        <w:pStyle w:val="6"/>
        <w:rPr>
          <w:szCs w:val="24"/>
          <w:highlight w:val="none"/>
        </w:rPr>
      </w:pPr>
      <w:bookmarkStart w:id="248" w:name="_Toc273290667"/>
      <w:bookmarkStart w:id="249" w:name="_Toc244587285"/>
      <w:bookmarkStart w:id="250" w:name="_Toc191811401"/>
      <w:bookmarkStart w:id="251" w:name="_Toc250690226"/>
      <w:bookmarkStart w:id="252" w:name="_Toc29007"/>
      <w:bookmarkStart w:id="253" w:name="_Toc250716242"/>
      <w:bookmarkStart w:id="254" w:name="_Toc222563651"/>
      <w:bookmarkStart w:id="255" w:name="_Toc271290644"/>
      <w:bookmarkStart w:id="256" w:name="_Toc461980440"/>
      <w:bookmarkStart w:id="257" w:name="_Toc520715103"/>
      <w:bookmarkStart w:id="258" w:name="_Toc254775510"/>
      <w:r>
        <w:rPr>
          <w:rFonts w:hint="eastAsia"/>
          <w:szCs w:val="24"/>
          <w:highlight w:val="none"/>
        </w:rPr>
        <w:t>12、事故处理</w:t>
      </w:r>
      <w:bookmarkEnd w:id="248"/>
      <w:bookmarkEnd w:id="249"/>
      <w:bookmarkEnd w:id="250"/>
      <w:bookmarkEnd w:id="251"/>
      <w:bookmarkEnd w:id="252"/>
      <w:bookmarkEnd w:id="253"/>
      <w:bookmarkEnd w:id="254"/>
      <w:bookmarkEnd w:id="255"/>
      <w:bookmarkEnd w:id="256"/>
      <w:bookmarkEnd w:id="257"/>
    </w:p>
    <w:p w14:paraId="7E1DC388">
      <w:pPr>
        <w:spacing w:line="360" w:lineRule="auto"/>
        <w:ind w:firstLine="420" w:firstLineChars="200"/>
        <w:rPr>
          <w:szCs w:val="21"/>
          <w:highlight w:val="none"/>
        </w:rPr>
      </w:pPr>
      <w:r>
        <w:rPr>
          <w:rFonts w:hint="eastAsia"/>
          <w:szCs w:val="21"/>
          <w:highlight w:val="none"/>
        </w:rPr>
        <w:t>12.2事故的处理</w:t>
      </w:r>
    </w:p>
    <w:p w14:paraId="0ABCF3CC">
      <w:pPr>
        <w:spacing w:line="360" w:lineRule="auto"/>
        <w:ind w:firstLine="539" w:firstLineChars="257"/>
        <w:rPr>
          <w:highlight w:val="none"/>
        </w:rPr>
      </w:pPr>
      <w:r>
        <w:rPr>
          <w:rFonts w:hint="eastAsia" w:ascii="宋体" w:hAnsi="宋体"/>
          <w:szCs w:val="21"/>
          <w:highlight w:val="none"/>
        </w:rPr>
        <w:t>本款文末增加如下内容</w:t>
      </w:r>
      <w:r>
        <w:rPr>
          <w:rFonts w:hint="eastAsia"/>
          <w:highlight w:val="none"/>
        </w:rPr>
        <w:t>：</w:t>
      </w:r>
    </w:p>
    <w:p w14:paraId="7FEF4B8F">
      <w:pPr>
        <w:spacing w:line="360" w:lineRule="auto"/>
        <w:ind w:firstLine="539" w:firstLineChars="257"/>
        <w:rPr>
          <w:highlight w:val="none"/>
        </w:rPr>
      </w:pPr>
      <w:r>
        <w:rPr>
          <w:rFonts w:hint="eastAsia"/>
          <w:highlight w:val="none"/>
        </w:rPr>
        <w:t>由于承包人原因造成的安全事故的，由承包人承担相应责任和费用的同时，发包人将根据情节的严重对承包人进行10-20万元的罚款，且工期不予顺延。</w:t>
      </w:r>
    </w:p>
    <w:p w14:paraId="2A9EB20A">
      <w:pPr>
        <w:pStyle w:val="6"/>
        <w:rPr>
          <w:szCs w:val="24"/>
          <w:highlight w:val="none"/>
        </w:rPr>
      </w:pPr>
      <w:bookmarkStart w:id="259" w:name="_Toc271290645"/>
      <w:bookmarkStart w:id="260" w:name="_Toc520715104"/>
      <w:bookmarkStart w:id="261" w:name="_Toc461980441"/>
      <w:bookmarkStart w:id="262" w:name="_Toc273290668"/>
      <w:bookmarkStart w:id="263" w:name="_Toc29634"/>
      <w:r>
        <w:rPr>
          <w:rFonts w:hint="eastAsia"/>
          <w:szCs w:val="24"/>
          <w:highlight w:val="none"/>
        </w:rPr>
        <w:t>13、交通运输</w:t>
      </w:r>
      <w:bookmarkEnd w:id="258"/>
      <w:bookmarkEnd w:id="259"/>
      <w:bookmarkEnd w:id="260"/>
      <w:bookmarkEnd w:id="261"/>
      <w:bookmarkEnd w:id="262"/>
      <w:bookmarkEnd w:id="263"/>
    </w:p>
    <w:p w14:paraId="4583E17F">
      <w:pPr>
        <w:spacing w:line="360" w:lineRule="auto"/>
        <w:ind w:firstLine="420" w:firstLineChars="200"/>
        <w:rPr>
          <w:rFonts w:ascii="宋体" w:hAnsi="宋体"/>
          <w:b/>
          <w:highlight w:val="none"/>
        </w:rPr>
      </w:pPr>
      <w:r>
        <w:rPr>
          <w:rFonts w:hint="eastAsia" w:ascii="宋体" w:hAnsi="宋体"/>
          <w:highlight w:val="none"/>
        </w:rPr>
        <w:t>13.1  道路通行权和场外设施的约定：</w:t>
      </w:r>
      <w:bookmarkStart w:id="264" w:name="_Toc271290646"/>
      <w:bookmarkStart w:id="265" w:name="_Toc263775799"/>
      <w:bookmarkStart w:id="266" w:name="_Toc273290669"/>
      <w:bookmarkStart w:id="267" w:name="_Toc334014602"/>
      <w:bookmarkStart w:id="268" w:name="_Toc461980442"/>
      <w:bookmarkStart w:id="269" w:name="_Toc520715105"/>
      <w:bookmarkStart w:id="270" w:name="_Toc16664"/>
      <w:r>
        <w:rPr>
          <w:rFonts w:hint="eastAsia" w:ascii="宋体" w:hAnsi="宋体"/>
          <w:b/>
          <w:highlight w:val="none"/>
        </w:rPr>
        <w:t>承包人应根据实施合同工程的需要，负责办理取得出入施工场地的专用和临时道路的通行权，以及取得为实施合同工程所需修建场外设施的权利，并承担有关费用。发包人应协助承包人办理上述手续。</w:t>
      </w:r>
    </w:p>
    <w:p w14:paraId="348BF3EB">
      <w:pPr>
        <w:spacing w:line="360" w:lineRule="auto"/>
        <w:ind w:firstLine="420" w:firstLineChars="200"/>
        <w:rPr>
          <w:rFonts w:ascii="宋体" w:hAnsi="宋体"/>
          <w:szCs w:val="21"/>
          <w:highlight w:val="none"/>
        </w:rPr>
      </w:pPr>
      <w:r>
        <w:rPr>
          <w:rFonts w:hint="eastAsia" w:ascii="宋体" w:hAnsi="宋体"/>
          <w:szCs w:val="21"/>
          <w:highlight w:val="none"/>
        </w:rPr>
        <w:t>13.2  场外施工道路的约定：</w:t>
      </w:r>
      <w:bookmarkEnd w:id="264"/>
      <w:bookmarkEnd w:id="265"/>
      <w:bookmarkEnd w:id="266"/>
      <w:bookmarkEnd w:id="267"/>
      <w:bookmarkEnd w:id="268"/>
      <w:bookmarkEnd w:id="269"/>
      <w:bookmarkEnd w:id="270"/>
      <w:bookmarkStart w:id="271" w:name="_Toc520715106"/>
      <w:bookmarkStart w:id="272" w:name="_Toc334014603"/>
      <w:bookmarkStart w:id="273" w:name="_Toc273290670"/>
      <w:bookmarkStart w:id="274" w:name="_Toc29625"/>
      <w:bookmarkStart w:id="275" w:name="_Toc461980443"/>
      <w:r>
        <w:rPr>
          <w:rFonts w:hint="eastAsia" w:ascii="宋体" w:hAnsi="宋体"/>
          <w:b/>
          <w:szCs w:val="21"/>
          <w:highlight w:val="none"/>
        </w:rPr>
        <w:t>（补充）所涉及费用已纳入合同价款中，结算不作调整</w:t>
      </w:r>
      <w:r>
        <w:rPr>
          <w:rFonts w:hint="eastAsia" w:ascii="宋体" w:hAnsi="宋体"/>
          <w:szCs w:val="21"/>
          <w:highlight w:val="none"/>
        </w:rPr>
        <w:t>。</w:t>
      </w:r>
    </w:p>
    <w:p w14:paraId="7DCE4735">
      <w:pPr>
        <w:rPr>
          <w:rFonts w:ascii="宋体" w:hAnsi="宋体"/>
          <w:highlight w:val="none"/>
        </w:rPr>
      </w:pPr>
      <w:bookmarkStart w:id="276" w:name="_Toc44235696"/>
      <w:r>
        <w:rPr>
          <w:rFonts w:hint="eastAsia" w:ascii="宋体" w:hAnsi="宋体"/>
          <w:highlight w:val="none"/>
        </w:rPr>
        <w:t>13.4  超大件和超重件运输的约定：</w:t>
      </w:r>
      <w:bookmarkEnd w:id="271"/>
      <w:bookmarkEnd w:id="272"/>
      <w:bookmarkEnd w:id="273"/>
      <w:bookmarkEnd w:id="274"/>
      <w:bookmarkEnd w:id="275"/>
      <w:r>
        <w:rPr>
          <w:rFonts w:hint="eastAsia" w:ascii="宋体" w:hAnsi="宋体"/>
          <w:b/>
          <w:szCs w:val="21"/>
          <w:highlight w:val="none"/>
        </w:rPr>
        <w:t>（补充）所涉及</w:t>
      </w:r>
      <w:r>
        <w:rPr>
          <w:rFonts w:hint="eastAsia" w:ascii="宋体" w:hAnsi="宋体"/>
          <w:b/>
          <w:highlight w:val="none"/>
        </w:rPr>
        <w:t>费用已纳入合同价款中，结算不作调整</w:t>
      </w:r>
      <w:r>
        <w:rPr>
          <w:rFonts w:hint="eastAsia" w:ascii="宋体" w:hAnsi="宋体"/>
          <w:highlight w:val="none"/>
        </w:rPr>
        <w:t>。</w:t>
      </w:r>
      <w:bookmarkEnd w:id="276"/>
    </w:p>
    <w:p w14:paraId="69FBDC37">
      <w:pPr>
        <w:pStyle w:val="6"/>
        <w:rPr>
          <w:szCs w:val="24"/>
          <w:highlight w:val="none"/>
        </w:rPr>
      </w:pPr>
      <w:bookmarkStart w:id="277" w:name="_Toc273290671"/>
      <w:bookmarkStart w:id="278" w:name="_Toc271290647"/>
      <w:bookmarkStart w:id="279" w:name="_Toc472"/>
      <w:bookmarkStart w:id="280" w:name="_Toc254775511"/>
      <w:bookmarkStart w:id="281" w:name="_Toc520715107"/>
      <w:bookmarkStart w:id="282" w:name="_Toc461980444"/>
      <w:r>
        <w:rPr>
          <w:rFonts w:hint="eastAsia"/>
          <w:szCs w:val="24"/>
          <w:highlight w:val="none"/>
        </w:rPr>
        <w:t>14、专项批准事件的签认</w:t>
      </w:r>
      <w:bookmarkEnd w:id="277"/>
      <w:bookmarkEnd w:id="278"/>
      <w:bookmarkEnd w:id="279"/>
      <w:bookmarkEnd w:id="280"/>
      <w:bookmarkEnd w:id="281"/>
      <w:bookmarkEnd w:id="282"/>
    </w:p>
    <w:p w14:paraId="1D9586C7">
      <w:pPr>
        <w:spacing w:line="360" w:lineRule="auto"/>
        <w:ind w:firstLine="420" w:firstLineChars="200"/>
        <w:rPr>
          <w:rFonts w:ascii="宋体" w:hAnsi="宋体"/>
          <w:highlight w:val="none"/>
        </w:rPr>
      </w:pPr>
      <w:r>
        <w:rPr>
          <w:rFonts w:hint="eastAsia" w:ascii="宋体" w:hAnsi="宋体"/>
          <w:highlight w:val="none"/>
        </w:rPr>
        <w:t>14.2   （1）专项批准事件的监理工程师：</w:t>
      </w:r>
    </w:p>
    <w:p w14:paraId="3C9351EB">
      <w:pPr>
        <w:spacing w:line="360" w:lineRule="auto"/>
        <w:ind w:firstLine="420" w:firstLineChars="200"/>
        <w:rPr>
          <w:rFonts w:ascii="宋体" w:hAnsi="宋体"/>
          <w:highlight w:val="none"/>
        </w:rPr>
      </w:pPr>
      <w:r>
        <w:rPr>
          <w:rFonts w:hint="eastAsia" w:ascii="宋体" w:hAnsi="宋体"/>
          <w:highlight w:val="none"/>
        </w:rPr>
        <w:t>具体人选：          印章样式：            签字样式：       授权范围：按监理合同规定。</w:t>
      </w:r>
    </w:p>
    <w:p w14:paraId="2490F29C">
      <w:pPr>
        <w:spacing w:line="360" w:lineRule="auto"/>
        <w:ind w:firstLine="420" w:firstLineChars="200"/>
        <w:rPr>
          <w:rFonts w:ascii="宋体" w:hAnsi="宋体"/>
          <w:highlight w:val="none"/>
        </w:rPr>
      </w:pPr>
      <w:r>
        <w:rPr>
          <w:rFonts w:hint="eastAsia" w:ascii="宋体" w:hAnsi="宋体"/>
          <w:highlight w:val="none"/>
        </w:rPr>
        <w:t xml:space="preserve">       （2）专项批准事件的造价工程师：</w:t>
      </w:r>
    </w:p>
    <w:p w14:paraId="11A40A73">
      <w:pPr>
        <w:spacing w:line="360" w:lineRule="auto"/>
        <w:ind w:firstLine="420" w:firstLineChars="200"/>
        <w:rPr>
          <w:rFonts w:ascii="宋体" w:hAnsi="宋体"/>
          <w:highlight w:val="none"/>
        </w:rPr>
      </w:pPr>
      <w:r>
        <w:rPr>
          <w:rFonts w:hint="eastAsia" w:ascii="宋体" w:hAnsi="宋体"/>
          <w:highlight w:val="none"/>
        </w:rPr>
        <w:t>具体人选：          印章样式：            签字样式：       授权范围：按造价咨询合同规定。</w:t>
      </w:r>
    </w:p>
    <w:p w14:paraId="307F9218">
      <w:pPr>
        <w:spacing w:line="360" w:lineRule="auto"/>
        <w:ind w:firstLine="1155" w:firstLineChars="550"/>
        <w:rPr>
          <w:rFonts w:ascii="宋体" w:hAnsi="宋体"/>
          <w:highlight w:val="none"/>
        </w:rPr>
      </w:pPr>
      <w:r>
        <w:rPr>
          <w:rFonts w:hint="eastAsia" w:ascii="宋体" w:hAnsi="宋体"/>
          <w:highlight w:val="none"/>
        </w:rPr>
        <w:t>（3）专项批准事件的建造师的：</w:t>
      </w:r>
    </w:p>
    <w:p w14:paraId="68238898">
      <w:pPr>
        <w:spacing w:line="360" w:lineRule="auto"/>
        <w:ind w:firstLine="420" w:firstLineChars="200"/>
        <w:rPr>
          <w:rFonts w:ascii="宋体" w:hAnsi="宋体"/>
          <w:highlight w:val="none"/>
        </w:rPr>
      </w:pPr>
      <w:r>
        <w:rPr>
          <w:rFonts w:hint="eastAsia" w:ascii="宋体" w:hAnsi="宋体"/>
          <w:highlight w:val="none"/>
        </w:rPr>
        <w:t xml:space="preserve">具体人选：          印章样式：            签字样式：       </w:t>
      </w:r>
    </w:p>
    <w:p w14:paraId="58B3210B">
      <w:pPr>
        <w:spacing w:line="360" w:lineRule="auto"/>
        <w:ind w:firstLine="420" w:firstLineChars="200"/>
        <w:rPr>
          <w:rFonts w:ascii="宋体" w:hAnsi="宋体"/>
          <w:highlight w:val="none"/>
        </w:rPr>
      </w:pPr>
      <w:r>
        <w:rPr>
          <w:rFonts w:hint="eastAsia" w:ascii="宋体" w:hAnsi="宋体"/>
          <w:highlight w:val="none"/>
        </w:rPr>
        <w:t>授权范围：</w:t>
      </w:r>
      <w:r>
        <w:rPr>
          <w:rFonts w:hint="eastAsia" w:ascii="宋体" w:hAnsi="宋体" w:cs="宋体"/>
          <w:b/>
          <w:szCs w:val="21"/>
          <w:highlight w:val="none"/>
        </w:rPr>
        <w:t>按本合同第25.2款的规定执行</w:t>
      </w:r>
      <w:r>
        <w:rPr>
          <w:rFonts w:hint="eastAsia" w:ascii="宋体" w:hAnsi="宋体"/>
          <w:b/>
          <w:highlight w:val="none"/>
        </w:rPr>
        <w:t>。</w:t>
      </w:r>
    </w:p>
    <w:p w14:paraId="05048720">
      <w:pPr>
        <w:spacing w:line="360" w:lineRule="auto"/>
        <w:rPr>
          <w:rFonts w:ascii="宋体" w:hAnsi="宋体"/>
          <w:highlight w:val="none"/>
        </w:rPr>
      </w:pPr>
    </w:p>
    <w:p w14:paraId="4B52BA72">
      <w:pPr>
        <w:pStyle w:val="6"/>
        <w:rPr>
          <w:szCs w:val="24"/>
          <w:highlight w:val="none"/>
        </w:rPr>
      </w:pPr>
      <w:bookmarkStart w:id="283" w:name="_Toc17319"/>
      <w:bookmarkStart w:id="284" w:name="_Toc271290648"/>
      <w:bookmarkStart w:id="285" w:name="_Toc254775512"/>
      <w:bookmarkStart w:id="286" w:name="_Toc273290672"/>
      <w:bookmarkStart w:id="287" w:name="_Toc461980445"/>
      <w:bookmarkStart w:id="288" w:name="_Toc520715108"/>
      <w:r>
        <w:rPr>
          <w:rFonts w:hint="eastAsia"/>
          <w:szCs w:val="24"/>
          <w:highlight w:val="none"/>
        </w:rPr>
        <w:t>19、发包人</w:t>
      </w:r>
      <w:bookmarkEnd w:id="283"/>
      <w:bookmarkEnd w:id="284"/>
      <w:bookmarkEnd w:id="285"/>
      <w:bookmarkEnd w:id="286"/>
      <w:bookmarkEnd w:id="287"/>
      <w:bookmarkEnd w:id="288"/>
    </w:p>
    <w:p w14:paraId="73E16CC9">
      <w:pPr>
        <w:spacing w:line="360" w:lineRule="auto"/>
        <w:ind w:firstLine="420" w:firstLineChars="200"/>
        <w:rPr>
          <w:rFonts w:ascii="宋体" w:hAnsi="宋体"/>
          <w:szCs w:val="21"/>
          <w:highlight w:val="none"/>
        </w:rPr>
      </w:pPr>
      <w:r>
        <w:rPr>
          <w:rFonts w:hint="eastAsia" w:ascii="宋体" w:hAnsi="宋体"/>
          <w:szCs w:val="21"/>
          <w:highlight w:val="none"/>
        </w:rPr>
        <w:t>19.2  发包人完成下列工作的约定：</w:t>
      </w:r>
    </w:p>
    <w:p w14:paraId="2E9EE114">
      <w:pPr>
        <w:tabs>
          <w:tab w:val="left" w:pos="465"/>
        </w:tabs>
        <w:autoSpaceDE w:val="0"/>
        <w:autoSpaceDN w:val="0"/>
        <w:adjustRightInd w:val="0"/>
        <w:spacing w:line="466" w:lineRule="exact"/>
        <w:ind w:left="359" w:leftChars="171" w:firstLine="388" w:firstLineChars="185"/>
        <w:jc w:val="left"/>
        <w:rPr>
          <w:rFonts w:ascii="宋体" w:hAnsi="宋体"/>
          <w:szCs w:val="21"/>
          <w:highlight w:val="none"/>
        </w:rPr>
      </w:pPr>
      <w:r>
        <w:rPr>
          <w:rFonts w:ascii="宋体" w:hAnsi="宋体"/>
          <w:szCs w:val="21"/>
          <w:highlight w:val="none"/>
        </w:rPr>
        <w:t>(1)办理土地征用、拆迁等工作，使施工场地具备施工条件的时间：</w:t>
      </w:r>
      <w:r>
        <w:rPr>
          <w:rFonts w:hint="eastAsia" w:ascii="宋体" w:hAnsi="宋体"/>
          <w:b/>
          <w:szCs w:val="21"/>
          <w:highlight w:val="none"/>
        </w:rPr>
        <w:t>开工前 7 天（对于具备条件的，先行开工建设</w:t>
      </w:r>
      <w:r>
        <w:rPr>
          <w:rFonts w:hint="eastAsia" w:ascii="宋体" w:hAnsi="宋体" w:cs="仿宋_GB2312"/>
          <w:b/>
          <w:szCs w:val="21"/>
          <w:highlight w:val="none"/>
        </w:rPr>
        <w:t>，平整工作场地由承包人负责</w:t>
      </w:r>
      <w:r>
        <w:rPr>
          <w:rFonts w:hint="eastAsia" w:ascii="宋体" w:hAnsi="宋体"/>
          <w:b/>
          <w:szCs w:val="21"/>
          <w:highlight w:val="none"/>
        </w:rPr>
        <w:t>）；</w:t>
      </w:r>
    </w:p>
    <w:p w14:paraId="5817EBF1">
      <w:pPr>
        <w:tabs>
          <w:tab w:val="left" w:pos="540"/>
        </w:tabs>
        <w:autoSpaceDE w:val="0"/>
        <w:autoSpaceDN w:val="0"/>
        <w:adjustRightInd w:val="0"/>
        <w:spacing w:line="466" w:lineRule="exact"/>
        <w:ind w:left="359" w:leftChars="171" w:firstLine="388" w:firstLineChars="185"/>
        <w:jc w:val="left"/>
        <w:rPr>
          <w:rFonts w:ascii="宋体" w:hAnsi="宋体"/>
          <w:b/>
          <w:szCs w:val="21"/>
          <w:highlight w:val="none"/>
        </w:rPr>
      </w:pPr>
      <w:r>
        <w:rPr>
          <w:rFonts w:ascii="宋体" w:hAnsi="宋体"/>
          <w:szCs w:val="21"/>
          <w:highlight w:val="none"/>
        </w:rPr>
        <w:t>(2)完成施工所需水、电、通讯线路接驳的时间及地点：</w:t>
      </w:r>
      <w:r>
        <w:rPr>
          <w:rFonts w:hint="eastAsia" w:ascii="宋体" w:hAnsi="宋体" w:cs="仿宋_GB2312"/>
          <w:b/>
          <w:szCs w:val="21"/>
          <w:highlight w:val="none"/>
        </w:rPr>
        <w:t>水、电、通讯线路接驳由承包人负责并承担相关费用，发包人协助办理报建手续；</w:t>
      </w:r>
    </w:p>
    <w:p w14:paraId="1EC95941">
      <w:pPr>
        <w:tabs>
          <w:tab w:val="left" w:pos="540"/>
        </w:tabs>
        <w:autoSpaceDE w:val="0"/>
        <w:autoSpaceDN w:val="0"/>
        <w:adjustRightInd w:val="0"/>
        <w:spacing w:line="466" w:lineRule="exact"/>
        <w:ind w:left="359" w:leftChars="171" w:firstLine="388" w:firstLineChars="185"/>
        <w:jc w:val="left"/>
        <w:rPr>
          <w:rFonts w:ascii="宋体" w:hAnsi="宋体"/>
          <w:b/>
          <w:szCs w:val="21"/>
          <w:highlight w:val="none"/>
        </w:rPr>
      </w:pPr>
      <w:r>
        <w:rPr>
          <w:rFonts w:ascii="宋体" w:hAnsi="宋体"/>
          <w:szCs w:val="21"/>
          <w:highlight w:val="none"/>
        </w:rPr>
        <w:t>(3)开</w:t>
      </w:r>
      <w:r>
        <w:rPr>
          <w:rFonts w:hint="eastAsia" w:ascii="宋体" w:hAnsi="宋体"/>
          <w:szCs w:val="21"/>
          <w:highlight w:val="none"/>
        </w:rPr>
        <w:t>通</w:t>
      </w:r>
      <w:r>
        <w:rPr>
          <w:rFonts w:ascii="宋体" w:hAnsi="宋体"/>
          <w:szCs w:val="21"/>
          <w:highlight w:val="none"/>
        </w:rPr>
        <w:t>施工现场与城乡公共道路间的通道的约定</w:t>
      </w:r>
      <w:r>
        <w:rPr>
          <w:rFonts w:hint="eastAsia" w:ascii="宋体" w:hAnsi="宋体"/>
          <w:szCs w:val="21"/>
          <w:highlight w:val="none"/>
        </w:rPr>
        <w:t>：</w:t>
      </w:r>
      <w:r>
        <w:rPr>
          <w:rFonts w:hint="eastAsia" w:ascii="宋体" w:hAnsi="宋体" w:cs="仿宋_GB2312"/>
          <w:b/>
          <w:szCs w:val="21"/>
          <w:highlight w:val="none"/>
        </w:rPr>
        <w:t>投标前，承包人应自行到施工现场考察踏勘充分考虑；中标后开通施工现场与城乡公共道路间的通道由承包人自费包干解决，满足施工运输需要；施工红线内的各种施工便道由承包人自费包干解决；</w:t>
      </w:r>
    </w:p>
    <w:p w14:paraId="3C1ECF60">
      <w:pPr>
        <w:tabs>
          <w:tab w:val="left" w:pos="465"/>
        </w:tabs>
        <w:autoSpaceDE w:val="0"/>
        <w:autoSpaceDN w:val="0"/>
        <w:adjustRightInd w:val="0"/>
        <w:spacing w:line="466" w:lineRule="exact"/>
        <w:ind w:left="359" w:leftChars="171" w:firstLine="388" w:firstLineChars="185"/>
        <w:jc w:val="left"/>
        <w:rPr>
          <w:rFonts w:ascii="宋体" w:hAnsi="宋体"/>
          <w:szCs w:val="21"/>
          <w:highlight w:val="none"/>
        </w:rPr>
      </w:pPr>
      <w:r>
        <w:rPr>
          <w:rFonts w:ascii="宋体" w:hAnsi="宋体"/>
          <w:szCs w:val="21"/>
          <w:highlight w:val="none"/>
        </w:rPr>
        <w:t>(4)提供有关资料的时间：</w:t>
      </w:r>
      <w:r>
        <w:rPr>
          <w:rFonts w:hint="eastAsia" w:ascii="宋体" w:hAnsi="宋体"/>
          <w:b/>
          <w:szCs w:val="21"/>
          <w:highlight w:val="none"/>
        </w:rPr>
        <w:t>开工前 7 天完成；</w:t>
      </w:r>
    </w:p>
    <w:p w14:paraId="73368833">
      <w:pPr>
        <w:tabs>
          <w:tab w:val="left" w:pos="465"/>
        </w:tabs>
        <w:autoSpaceDE w:val="0"/>
        <w:autoSpaceDN w:val="0"/>
        <w:adjustRightInd w:val="0"/>
        <w:spacing w:line="466" w:lineRule="exact"/>
        <w:ind w:left="359" w:leftChars="171" w:firstLine="388" w:firstLineChars="185"/>
        <w:jc w:val="left"/>
        <w:rPr>
          <w:rFonts w:ascii="宋体" w:hAnsi="宋体"/>
          <w:szCs w:val="21"/>
          <w:highlight w:val="none"/>
        </w:rPr>
      </w:pPr>
      <w:r>
        <w:rPr>
          <w:rFonts w:ascii="宋体" w:hAnsi="宋体"/>
          <w:szCs w:val="21"/>
          <w:highlight w:val="none"/>
        </w:rPr>
        <w:t>(5)办理有关所需证件的约定：</w:t>
      </w:r>
      <w:r>
        <w:rPr>
          <w:rFonts w:hint="eastAsia" w:ascii="宋体" w:hAnsi="宋体"/>
          <w:b/>
          <w:szCs w:val="21"/>
          <w:highlight w:val="none"/>
        </w:rPr>
        <w:t>具体由发包人确定；</w:t>
      </w:r>
    </w:p>
    <w:p w14:paraId="74FF0108">
      <w:pPr>
        <w:tabs>
          <w:tab w:val="left" w:pos="465"/>
        </w:tabs>
        <w:autoSpaceDE w:val="0"/>
        <w:autoSpaceDN w:val="0"/>
        <w:adjustRightInd w:val="0"/>
        <w:spacing w:line="466" w:lineRule="exact"/>
        <w:ind w:left="359" w:leftChars="171" w:firstLine="388" w:firstLineChars="185"/>
        <w:jc w:val="left"/>
        <w:rPr>
          <w:rFonts w:ascii="宋体" w:hAnsi="宋体"/>
          <w:szCs w:val="21"/>
          <w:highlight w:val="none"/>
        </w:rPr>
      </w:pPr>
      <w:r>
        <w:rPr>
          <w:rFonts w:ascii="宋体" w:hAnsi="宋体"/>
          <w:szCs w:val="21"/>
          <w:highlight w:val="none"/>
        </w:rPr>
        <w:t>(6)现场交验的时间：</w:t>
      </w:r>
      <w:r>
        <w:rPr>
          <w:rFonts w:hint="eastAsia" w:ascii="宋体" w:hAnsi="宋体"/>
          <w:b/>
          <w:szCs w:val="21"/>
          <w:highlight w:val="none"/>
        </w:rPr>
        <w:t>开工前 7 天完成；</w:t>
      </w:r>
    </w:p>
    <w:p w14:paraId="5B3EA3D3">
      <w:pPr>
        <w:tabs>
          <w:tab w:val="left" w:pos="540"/>
        </w:tabs>
        <w:autoSpaceDE w:val="0"/>
        <w:autoSpaceDN w:val="0"/>
        <w:adjustRightInd w:val="0"/>
        <w:spacing w:line="466" w:lineRule="exact"/>
        <w:ind w:left="359" w:leftChars="171" w:firstLine="388" w:firstLineChars="185"/>
        <w:jc w:val="left"/>
        <w:rPr>
          <w:rFonts w:ascii="宋体" w:hAnsi="宋体"/>
          <w:b/>
          <w:szCs w:val="21"/>
          <w:highlight w:val="none"/>
        </w:rPr>
      </w:pPr>
      <w:r>
        <w:rPr>
          <w:rFonts w:ascii="宋体" w:hAnsi="宋体"/>
          <w:szCs w:val="21"/>
          <w:highlight w:val="none"/>
        </w:rPr>
        <w:t>(7)提供施工设计图纸、设计文件的时间：</w:t>
      </w:r>
      <w:r>
        <w:rPr>
          <w:rFonts w:hint="eastAsia" w:ascii="宋体" w:hAnsi="宋体"/>
          <w:b/>
          <w:szCs w:val="21"/>
          <w:highlight w:val="none"/>
        </w:rPr>
        <w:t>中标后 7 日内，相关标准和规范由承包人自行购买；</w:t>
      </w:r>
    </w:p>
    <w:p w14:paraId="577ABC48">
      <w:pPr>
        <w:tabs>
          <w:tab w:val="left" w:pos="540"/>
        </w:tabs>
        <w:autoSpaceDE w:val="0"/>
        <w:autoSpaceDN w:val="0"/>
        <w:adjustRightInd w:val="0"/>
        <w:spacing w:line="466" w:lineRule="exact"/>
        <w:ind w:left="359" w:leftChars="171" w:firstLine="388" w:firstLineChars="185"/>
        <w:jc w:val="left"/>
        <w:rPr>
          <w:rFonts w:ascii="宋体" w:hAnsi="宋体"/>
          <w:szCs w:val="21"/>
          <w:highlight w:val="none"/>
        </w:rPr>
      </w:pPr>
      <w:bookmarkStart w:id="289" w:name="_Toc324427273"/>
      <w:bookmarkStart w:id="290" w:name="_Toc332291734"/>
      <w:bookmarkStart w:id="291" w:name="_Toc44235697"/>
      <w:bookmarkStart w:id="292" w:name="_Toc323046557"/>
      <w:r>
        <w:rPr>
          <w:rFonts w:ascii="宋体" w:hAnsi="宋体"/>
          <w:szCs w:val="21"/>
          <w:highlight w:val="none"/>
        </w:rPr>
        <w:t>(8)组织图纸会审和设计交底的约定：</w:t>
      </w:r>
      <w:r>
        <w:rPr>
          <w:rFonts w:hint="eastAsia" w:ascii="宋体" w:hAnsi="宋体"/>
          <w:b/>
          <w:szCs w:val="21"/>
          <w:highlight w:val="none"/>
        </w:rPr>
        <w:t>开工前 7 天完成；</w:t>
      </w:r>
      <w:bookmarkEnd w:id="289"/>
      <w:bookmarkEnd w:id="290"/>
      <w:bookmarkEnd w:id="291"/>
      <w:bookmarkEnd w:id="292"/>
    </w:p>
    <w:p w14:paraId="088944F3">
      <w:pPr>
        <w:tabs>
          <w:tab w:val="left" w:pos="465"/>
        </w:tabs>
        <w:autoSpaceDE w:val="0"/>
        <w:autoSpaceDN w:val="0"/>
        <w:adjustRightInd w:val="0"/>
        <w:spacing w:line="466" w:lineRule="exact"/>
        <w:ind w:left="359" w:leftChars="171" w:firstLine="388" w:firstLineChars="185"/>
        <w:jc w:val="left"/>
        <w:rPr>
          <w:rFonts w:ascii="宋体" w:hAnsi="宋体"/>
          <w:szCs w:val="21"/>
          <w:highlight w:val="none"/>
        </w:rPr>
      </w:pPr>
      <w:r>
        <w:rPr>
          <w:rFonts w:ascii="宋体" w:hAnsi="宋体"/>
          <w:szCs w:val="21"/>
          <w:highlight w:val="none"/>
        </w:rPr>
        <w:t>(</w:t>
      </w:r>
      <w:r>
        <w:rPr>
          <w:rFonts w:hint="eastAsia" w:ascii="宋体" w:hAnsi="宋体"/>
          <w:szCs w:val="21"/>
          <w:highlight w:val="none"/>
        </w:rPr>
        <w:t>9</w:t>
      </w:r>
      <w:r>
        <w:rPr>
          <w:rFonts w:ascii="宋体" w:hAnsi="宋体"/>
          <w:szCs w:val="21"/>
          <w:highlight w:val="none"/>
        </w:rPr>
        <w:t>)协调处理施工场地周围地形关系问题和做好邻近建筑物、构筑物（包括文物保护建筑）、古树名木等的保护工作的约定：</w:t>
      </w:r>
      <w:r>
        <w:rPr>
          <w:rFonts w:hint="eastAsia" w:ascii="宋体" w:hAnsi="宋体"/>
          <w:b/>
          <w:szCs w:val="21"/>
          <w:highlight w:val="none"/>
        </w:rPr>
        <w:t>相关保护工作所需费用按招标文件或合同专用条款第 20.2 款第（8）项中的约定执行，招标文件或合同专用条款第 20.2 款第（8）项中没有具体约定的，相关保护工作所需费用由发包人承担；</w:t>
      </w:r>
    </w:p>
    <w:p w14:paraId="62D0E6B3">
      <w:pPr>
        <w:spacing w:line="360" w:lineRule="auto"/>
        <w:ind w:left="359" w:leftChars="171" w:firstLine="539" w:firstLineChars="257"/>
        <w:rPr>
          <w:rFonts w:ascii="宋体" w:hAnsi="宋体"/>
          <w:szCs w:val="21"/>
          <w:highlight w:val="none"/>
        </w:rPr>
      </w:pPr>
      <w:r>
        <w:rPr>
          <w:rFonts w:ascii="宋体" w:hAnsi="宋体"/>
          <w:szCs w:val="21"/>
          <w:highlight w:val="none"/>
        </w:rPr>
        <w:t>(</w:t>
      </w:r>
      <w:r>
        <w:rPr>
          <w:rFonts w:hint="eastAsia" w:ascii="宋体" w:hAnsi="宋体"/>
          <w:szCs w:val="21"/>
          <w:highlight w:val="none"/>
        </w:rPr>
        <w:t>10</w:t>
      </w:r>
      <w:r>
        <w:rPr>
          <w:rFonts w:ascii="宋体" w:hAnsi="宋体"/>
          <w:szCs w:val="21"/>
          <w:highlight w:val="none"/>
        </w:rPr>
        <w:t>)接收已完工程支付工程相关价款的约定：</w:t>
      </w:r>
      <w:r>
        <w:rPr>
          <w:rFonts w:hint="eastAsia" w:ascii="宋体" w:hAnsi="宋体"/>
          <w:b/>
          <w:szCs w:val="21"/>
          <w:highlight w:val="none"/>
        </w:rPr>
        <w:t>按合同专用条款第 78条执行。</w:t>
      </w:r>
    </w:p>
    <w:p w14:paraId="25466D0B">
      <w:pPr>
        <w:spacing w:line="360" w:lineRule="auto"/>
        <w:ind w:left="359" w:leftChars="171" w:firstLine="2"/>
        <w:rPr>
          <w:rFonts w:ascii="宋体" w:hAnsi="宋体"/>
          <w:szCs w:val="21"/>
          <w:highlight w:val="none"/>
        </w:rPr>
      </w:pPr>
      <w:r>
        <w:rPr>
          <w:rFonts w:hint="eastAsia" w:ascii="宋体" w:hAnsi="宋体"/>
          <w:szCs w:val="21"/>
          <w:highlight w:val="none"/>
        </w:rPr>
        <w:t>委托给承包人负责的部分工作：</w:t>
      </w:r>
    </w:p>
    <w:p w14:paraId="647FDBD4">
      <w:pPr>
        <w:spacing w:line="360" w:lineRule="auto"/>
        <w:ind w:left="359" w:leftChars="171" w:firstLine="361" w:firstLineChars="171"/>
        <w:rPr>
          <w:rFonts w:ascii="宋体" w:hAnsi="宋体" w:cs="宋体"/>
          <w:kern w:val="0"/>
          <w:szCs w:val="21"/>
          <w:highlight w:val="none"/>
        </w:rPr>
      </w:pPr>
      <w:r>
        <w:rPr>
          <w:rFonts w:hint="eastAsia" w:ascii="宋体" w:hAnsi="宋体" w:cs="宋体"/>
          <w:b/>
          <w:szCs w:val="21"/>
          <w:highlight w:val="none"/>
        </w:rPr>
        <w:t>（1）平整工作场地，承包人承担相关费用。</w:t>
      </w:r>
    </w:p>
    <w:p w14:paraId="054005CB">
      <w:pPr>
        <w:spacing w:line="360" w:lineRule="auto"/>
        <w:ind w:left="359" w:leftChars="171" w:firstLine="361" w:firstLineChars="171"/>
        <w:rPr>
          <w:rFonts w:ascii="宋体" w:hAnsi="宋体" w:cs="宋体"/>
          <w:kern w:val="0"/>
          <w:szCs w:val="21"/>
          <w:highlight w:val="none"/>
        </w:rPr>
      </w:pPr>
      <w:r>
        <w:rPr>
          <w:rFonts w:hint="eastAsia" w:ascii="宋体" w:hAnsi="宋体" w:cs="宋体"/>
          <w:b/>
          <w:szCs w:val="21"/>
          <w:highlight w:val="none"/>
        </w:rPr>
        <w:t>（2）</w:t>
      </w:r>
      <w:r>
        <w:rPr>
          <w:rFonts w:ascii="宋体" w:hAnsi="宋体" w:cs="宋体"/>
          <w:b/>
          <w:szCs w:val="21"/>
          <w:highlight w:val="none"/>
        </w:rPr>
        <w:t>将施工所需水、电、通讯线路从施工场地外部接驳至</w:t>
      </w:r>
      <w:r>
        <w:rPr>
          <w:rFonts w:hint="eastAsia" w:ascii="宋体" w:hAnsi="宋体" w:cs="宋体"/>
          <w:b/>
          <w:szCs w:val="21"/>
          <w:highlight w:val="none"/>
        </w:rPr>
        <w:t>工地红线内</w:t>
      </w:r>
      <w:r>
        <w:rPr>
          <w:rFonts w:ascii="宋体" w:hAnsi="宋体" w:cs="宋体"/>
          <w:b/>
          <w:szCs w:val="21"/>
          <w:highlight w:val="none"/>
        </w:rPr>
        <w:t>，保证施工期间的需要</w:t>
      </w:r>
      <w:r>
        <w:rPr>
          <w:rFonts w:hint="eastAsia" w:ascii="宋体" w:hAnsi="宋体" w:cs="宋体"/>
          <w:b/>
          <w:szCs w:val="21"/>
          <w:highlight w:val="none"/>
        </w:rPr>
        <w:t>，承包人承担相关费用。</w:t>
      </w:r>
    </w:p>
    <w:p w14:paraId="0FFDCF63">
      <w:pPr>
        <w:spacing w:line="500" w:lineRule="exact"/>
        <w:ind w:left="359" w:leftChars="171" w:firstLine="361" w:firstLineChars="171"/>
        <w:rPr>
          <w:rFonts w:ascii="宋体" w:hAnsi="宋体" w:cs="宋体"/>
          <w:b/>
          <w:szCs w:val="21"/>
          <w:highlight w:val="none"/>
        </w:rPr>
      </w:pPr>
      <w:r>
        <w:rPr>
          <w:rFonts w:hint="eastAsia" w:ascii="宋体" w:hAnsi="宋体" w:cs="宋体"/>
          <w:b/>
          <w:szCs w:val="21"/>
          <w:highlight w:val="none"/>
        </w:rPr>
        <w:t>（3）</w:t>
      </w:r>
      <w:r>
        <w:rPr>
          <w:rFonts w:ascii="宋体" w:hAnsi="宋体" w:cs="宋体"/>
          <w:b/>
          <w:szCs w:val="21"/>
          <w:highlight w:val="none"/>
        </w:rPr>
        <w:t>开通施工场地与城乡公共道路间的通道，满足交通运输的需要</w:t>
      </w:r>
      <w:r>
        <w:rPr>
          <w:rFonts w:hint="eastAsia" w:ascii="宋体" w:hAnsi="宋体" w:cs="宋体"/>
          <w:b/>
          <w:szCs w:val="21"/>
          <w:highlight w:val="none"/>
        </w:rPr>
        <w:t>，承包人承担相关费用，发包人协助承包人办理相关手续。</w:t>
      </w:r>
    </w:p>
    <w:p w14:paraId="2B6CB8C9">
      <w:pPr>
        <w:spacing w:line="500" w:lineRule="exact"/>
        <w:ind w:left="359" w:leftChars="171" w:firstLine="361" w:firstLineChars="171"/>
        <w:rPr>
          <w:rFonts w:ascii="宋体" w:hAnsi="宋体" w:cs="宋体"/>
          <w:b/>
          <w:szCs w:val="21"/>
          <w:highlight w:val="none"/>
        </w:rPr>
      </w:pPr>
      <w:r>
        <w:rPr>
          <w:rFonts w:hint="eastAsia" w:ascii="宋体" w:hAnsi="宋体" w:cs="宋体"/>
          <w:b/>
          <w:szCs w:val="21"/>
          <w:highlight w:val="none"/>
        </w:rPr>
        <w:t>（4）收集施工现场及毗邻区域内供水、排水、供电、供气、供热、通信、广播电视等地下管线资料，气象和水文观测资料，相邻建筑物和构筑物、地下工程的有关资料，并保证资料的真实、准确、完整。发包人给予协助，有关费用由承包人承担。</w:t>
      </w:r>
    </w:p>
    <w:p w14:paraId="40D49F15">
      <w:pPr>
        <w:spacing w:line="500" w:lineRule="exact"/>
        <w:ind w:left="359" w:leftChars="171" w:firstLine="361" w:firstLineChars="171"/>
        <w:rPr>
          <w:rFonts w:ascii="宋体" w:hAnsi="宋体" w:cs="宋体"/>
          <w:b/>
          <w:szCs w:val="21"/>
          <w:highlight w:val="none"/>
        </w:rPr>
      </w:pPr>
      <w:r>
        <w:rPr>
          <w:rFonts w:hint="eastAsia" w:ascii="宋体" w:hAnsi="宋体" w:cs="宋体"/>
          <w:b/>
          <w:szCs w:val="21"/>
          <w:highlight w:val="none"/>
        </w:rPr>
        <w:t>（5）由承包人负责办理施工许可及其他所需证件、批准文件和临时用地、停水、停电、中断道路交通、占用道路、爆破作业等的申请批准手续（承包人自身施工资质的证件除外），由承包人承担相关费用。</w:t>
      </w:r>
    </w:p>
    <w:p w14:paraId="290117BD">
      <w:pPr>
        <w:rPr>
          <w:rFonts w:ascii="宋体" w:hAnsi="宋体"/>
          <w:szCs w:val="21"/>
          <w:highlight w:val="none"/>
        </w:rPr>
      </w:pPr>
      <w:bookmarkStart w:id="293" w:name="_Toc271290650"/>
      <w:bookmarkStart w:id="294" w:name="_Toc520715110"/>
      <w:bookmarkStart w:id="295" w:name="_Toc263775803"/>
      <w:bookmarkStart w:id="296" w:name="_Toc461980447"/>
      <w:bookmarkStart w:id="297" w:name="_Toc14722"/>
      <w:bookmarkStart w:id="298" w:name="_Toc334014607"/>
      <w:bookmarkStart w:id="299" w:name="_Toc273290674"/>
      <w:bookmarkStart w:id="300" w:name="_Toc44235698"/>
      <w:r>
        <w:rPr>
          <w:rFonts w:hint="eastAsia" w:ascii="宋体" w:hAnsi="宋体"/>
          <w:szCs w:val="21"/>
          <w:highlight w:val="none"/>
        </w:rPr>
        <w:t>19.3  提供施工场地的时间：</w:t>
      </w:r>
      <w:bookmarkEnd w:id="293"/>
      <w:bookmarkEnd w:id="294"/>
      <w:bookmarkEnd w:id="295"/>
      <w:bookmarkEnd w:id="296"/>
      <w:bookmarkEnd w:id="297"/>
      <w:bookmarkEnd w:id="298"/>
      <w:bookmarkEnd w:id="299"/>
      <w:r>
        <w:rPr>
          <w:rFonts w:hint="eastAsia" w:ascii="宋体" w:hAnsi="宋体"/>
          <w:b/>
          <w:szCs w:val="21"/>
          <w:highlight w:val="none"/>
        </w:rPr>
        <w:t>发包人在能使承包人可以按照计划进度顺利开工的时间内提供</w:t>
      </w:r>
      <w:r>
        <w:rPr>
          <w:rFonts w:hint="eastAsia" w:ascii="宋体" w:hAnsi="宋体"/>
          <w:szCs w:val="21"/>
          <w:highlight w:val="none"/>
        </w:rPr>
        <w:t>。</w:t>
      </w:r>
      <w:bookmarkEnd w:id="300"/>
    </w:p>
    <w:p w14:paraId="2A6F565D">
      <w:pPr>
        <w:rPr>
          <w:rFonts w:ascii="宋体" w:hAnsi="宋体"/>
          <w:szCs w:val="21"/>
          <w:highlight w:val="none"/>
        </w:rPr>
      </w:pPr>
      <w:bookmarkStart w:id="301" w:name="_Toc44235699"/>
      <w:r>
        <w:rPr>
          <w:rFonts w:hint="eastAsia" w:ascii="宋体" w:hAnsi="宋体"/>
          <w:szCs w:val="21"/>
          <w:highlight w:val="none"/>
        </w:rPr>
        <w:t>19.4  支付期及支付方式的约定</w:t>
      </w:r>
      <w:bookmarkEnd w:id="301"/>
    </w:p>
    <w:p w14:paraId="32F02543">
      <w:pPr>
        <w:spacing w:line="360" w:lineRule="auto"/>
        <w:ind w:firstLine="420" w:firstLineChars="200"/>
        <w:rPr>
          <w:rFonts w:ascii="宋体" w:hAnsi="宋体"/>
          <w:szCs w:val="21"/>
          <w:highlight w:val="none"/>
        </w:rPr>
      </w:pPr>
      <w:r>
        <w:rPr>
          <w:rFonts w:hint="eastAsia" w:ascii="宋体" w:hAnsi="宋体"/>
          <w:szCs w:val="21"/>
          <w:highlight w:val="none"/>
        </w:rPr>
        <w:t>(1) 工程价款支付期限</w:t>
      </w:r>
    </w:p>
    <w:p w14:paraId="56C4DAA5">
      <w:pPr>
        <w:autoSpaceDE w:val="0"/>
        <w:autoSpaceDN w:val="0"/>
        <w:adjustRightInd w:val="0"/>
        <w:spacing w:line="360" w:lineRule="auto"/>
        <w:ind w:firstLine="840" w:firstLineChars="400"/>
        <w:jc w:val="left"/>
        <w:rPr>
          <w:rFonts w:ascii="宋体" w:hAnsi="宋体" w:cs="宋体"/>
          <w:kern w:val="0"/>
          <w:szCs w:val="21"/>
          <w:highlight w:val="none"/>
        </w:rPr>
      </w:pPr>
      <w:r>
        <w:rPr>
          <w:rFonts w:ascii="宋体" w:hAnsi="宋体" w:cs="宋体"/>
          <w:kern w:val="0"/>
          <w:szCs w:val="21"/>
          <w:highlight w:val="none"/>
        </w:rPr>
        <w:t>□按合同</w:t>
      </w:r>
      <w:r>
        <w:rPr>
          <w:rFonts w:hint="eastAsia" w:ascii="宋体" w:hAnsi="宋体" w:cs="宋体"/>
          <w:kern w:val="0"/>
          <w:szCs w:val="21"/>
          <w:highlight w:val="none"/>
        </w:rPr>
        <w:t>专用</w:t>
      </w:r>
      <w:r>
        <w:rPr>
          <w:rFonts w:ascii="宋体" w:hAnsi="宋体" w:cs="宋体"/>
          <w:kern w:val="0"/>
          <w:szCs w:val="21"/>
          <w:highlight w:val="none"/>
        </w:rPr>
        <w:t>条款规定期限支付。</w:t>
      </w:r>
    </w:p>
    <w:p w14:paraId="0FCFA22A">
      <w:pPr>
        <w:spacing w:line="360" w:lineRule="auto"/>
        <w:ind w:firstLine="840" w:firstLineChars="400"/>
        <w:rPr>
          <w:rFonts w:ascii="宋体" w:hAnsi="宋体"/>
          <w:szCs w:val="21"/>
          <w:highlight w:val="none"/>
        </w:rPr>
      </w:pPr>
      <w:r>
        <w:rPr>
          <w:rFonts w:hint="eastAsia" w:ascii="宋体" w:hAnsi="宋体"/>
          <w:szCs w:val="21"/>
          <w:highlight w:val="none"/>
        </w:rPr>
        <w:t>■</w:t>
      </w:r>
      <w:r>
        <w:rPr>
          <w:rFonts w:ascii="宋体" w:hAnsi="宋体" w:cs="宋体"/>
          <w:kern w:val="0"/>
          <w:szCs w:val="21"/>
          <w:highlight w:val="none"/>
        </w:rPr>
        <w:t>其他：</w:t>
      </w:r>
      <w:r>
        <w:rPr>
          <w:rFonts w:ascii="宋体" w:hAnsi="宋体" w:cs="宋体"/>
          <w:b/>
          <w:kern w:val="0"/>
          <w:szCs w:val="21"/>
          <w:highlight w:val="none"/>
        </w:rPr>
        <w:t>按合同</w:t>
      </w:r>
      <w:r>
        <w:rPr>
          <w:rFonts w:hint="eastAsia" w:ascii="宋体" w:hAnsi="宋体" w:cs="宋体"/>
          <w:b/>
          <w:kern w:val="0"/>
          <w:szCs w:val="21"/>
          <w:highlight w:val="none"/>
        </w:rPr>
        <w:t>专用</w:t>
      </w:r>
      <w:r>
        <w:rPr>
          <w:rFonts w:ascii="宋体" w:hAnsi="宋体" w:cs="宋体"/>
          <w:b/>
          <w:kern w:val="0"/>
          <w:szCs w:val="21"/>
          <w:highlight w:val="none"/>
        </w:rPr>
        <w:t>条款规定期限支付。</w:t>
      </w:r>
    </w:p>
    <w:p w14:paraId="6FF64E19">
      <w:pPr>
        <w:spacing w:line="360" w:lineRule="auto"/>
        <w:ind w:firstLine="420" w:firstLineChars="200"/>
        <w:rPr>
          <w:rFonts w:ascii="宋体" w:hAnsi="宋体"/>
          <w:szCs w:val="21"/>
          <w:highlight w:val="none"/>
        </w:rPr>
      </w:pPr>
      <w:r>
        <w:rPr>
          <w:rFonts w:hint="eastAsia" w:ascii="宋体" w:hAnsi="宋体"/>
          <w:szCs w:val="21"/>
          <w:highlight w:val="none"/>
        </w:rPr>
        <w:t xml:space="preserve"> (2)  工程价款支付方式：</w:t>
      </w:r>
    </w:p>
    <w:p w14:paraId="7AFBB118">
      <w:pPr>
        <w:spacing w:line="360" w:lineRule="auto"/>
        <w:rPr>
          <w:rFonts w:ascii="宋体" w:hAnsi="宋体"/>
          <w:szCs w:val="21"/>
          <w:highlight w:val="none"/>
        </w:rPr>
      </w:pPr>
      <w:r>
        <w:rPr>
          <w:rFonts w:hint="eastAsia" w:ascii="宋体" w:hAnsi="宋体"/>
          <w:szCs w:val="21"/>
          <w:highlight w:val="none"/>
        </w:rPr>
        <w:t xml:space="preserve">        ■  按协议书所注明的帐号银行转帐</w:t>
      </w:r>
    </w:p>
    <w:p w14:paraId="5E9E7282">
      <w:pPr>
        <w:spacing w:line="360" w:lineRule="auto"/>
        <w:ind w:firstLine="840" w:firstLineChars="400"/>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支票支付</w:t>
      </w:r>
    </w:p>
    <w:p w14:paraId="2D4E5EFF">
      <w:pPr>
        <w:spacing w:line="360" w:lineRule="auto"/>
        <w:ind w:firstLine="840" w:firstLineChars="400"/>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其他方式：</w:t>
      </w:r>
    </w:p>
    <w:p w14:paraId="10A65383">
      <w:pPr>
        <w:pStyle w:val="6"/>
        <w:rPr>
          <w:szCs w:val="24"/>
          <w:highlight w:val="none"/>
        </w:rPr>
      </w:pPr>
      <w:bookmarkStart w:id="302" w:name="_Toc29898"/>
      <w:bookmarkStart w:id="303" w:name="_Toc271290651"/>
      <w:bookmarkStart w:id="304" w:name="_Toc273290675"/>
      <w:bookmarkStart w:id="305" w:name="_Toc461980448"/>
      <w:bookmarkStart w:id="306" w:name="_Toc520715111"/>
      <w:bookmarkStart w:id="307" w:name="_Toc254775513"/>
      <w:r>
        <w:rPr>
          <w:rFonts w:hint="eastAsia"/>
          <w:szCs w:val="24"/>
          <w:highlight w:val="none"/>
        </w:rPr>
        <w:t>20、承包人</w:t>
      </w:r>
      <w:bookmarkEnd w:id="302"/>
      <w:bookmarkEnd w:id="303"/>
      <w:bookmarkEnd w:id="304"/>
      <w:bookmarkEnd w:id="305"/>
      <w:bookmarkEnd w:id="306"/>
      <w:bookmarkEnd w:id="307"/>
    </w:p>
    <w:p w14:paraId="46E24B95">
      <w:pPr>
        <w:rPr>
          <w:rFonts w:ascii="宋体" w:hAnsi="宋体"/>
          <w:szCs w:val="21"/>
          <w:highlight w:val="none"/>
        </w:rPr>
      </w:pPr>
      <w:bookmarkStart w:id="308" w:name="_Toc334014609"/>
      <w:bookmarkStart w:id="309" w:name="_Toc12589"/>
      <w:bookmarkStart w:id="310" w:name="_Toc273290676"/>
      <w:bookmarkStart w:id="311" w:name="_Toc271290652"/>
      <w:bookmarkStart w:id="312" w:name="_Toc520715112"/>
      <w:bookmarkStart w:id="313" w:name="_Toc461980449"/>
      <w:bookmarkStart w:id="314" w:name="_Toc44235700"/>
      <w:bookmarkStart w:id="315" w:name="_Toc263775805"/>
      <w:r>
        <w:rPr>
          <w:rFonts w:hint="eastAsia" w:ascii="宋体" w:hAnsi="宋体"/>
          <w:szCs w:val="21"/>
          <w:highlight w:val="none"/>
        </w:rPr>
        <w:t>20.2  承包人完成下列工作的约定</w:t>
      </w:r>
      <w:bookmarkEnd w:id="308"/>
      <w:bookmarkEnd w:id="309"/>
      <w:bookmarkEnd w:id="310"/>
      <w:bookmarkEnd w:id="311"/>
      <w:bookmarkEnd w:id="312"/>
      <w:bookmarkEnd w:id="313"/>
      <w:bookmarkEnd w:id="314"/>
      <w:bookmarkEnd w:id="315"/>
    </w:p>
    <w:p w14:paraId="4C29F3BB">
      <w:pPr>
        <w:spacing w:line="360" w:lineRule="auto"/>
        <w:ind w:firstLine="420" w:firstLineChars="200"/>
        <w:rPr>
          <w:rFonts w:ascii="宋体" w:hAnsi="宋体"/>
          <w:szCs w:val="21"/>
          <w:highlight w:val="none"/>
        </w:rPr>
      </w:pPr>
      <w:r>
        <w:rPr>
          <w:rFonts w:hint="eastAsia" w:ascii="宋体" w:hAnsi="宋体"/>
          <w:szCs w:val="21"/>
          <w:highlight w:val="none"/>
        </w:rPr>
        <w:t>（3）补充：</w:t>
      </w:r>
      <w:r>
        <w:rPr>
          <w:rFonts w:hint="eastAsia" w:ascii="宋体" w:hAnsi="宋体"/>
          <w:b/>
          <w:szCs w:val="21"/>
          <w:highlight w:val="none"/>
        </w:rPr>
        <w:t>还包括提交工人工资费用报告及支付申请；每次申请支付工程款前，必须将当月的工人工资支付情况报表上报发包人。</w:t>
      </w:r>
    </w:p>
    <w:p w14:paraId="1E8D9857">
      <w:pPr>
        <w:spacing w:line="360" w:lineRule="auto"/>
        <w:ind w:firstLine="420" w:firstLineChars="200"/>
        <w:rPr>
          <w:rFonts w:ascii="宋体" w:hAnsi="宋体"/>
          <w:b/>
          <w:szCs w:val="21"/>
          <w:highlight w:val="none"/>
        </w:rPr>
      </w:pPr>
      <w:r>
        <w:rPr>
          <w:rFonts w:hint="eastAsia" w:ascii="宋体" w:hAnsi="宋体"/>
          <w:szCs w:val="21"/>
          <w:highlight w:val="none"/>
        </w:rPr>
        <w:t>（5）向发包人提供施工现场办公和生活的房屋设施的时间和要求：</w:t>
      </w:r>
      <w:r>
        <w:rPr>
          <w:rFonts w:hint="eastAsia" w:ascii="宋体" w:hAnsi="宋体"/>
          <w:b/>
          <w:szCs w:val="21"/>
          <w:highlight w:val="none"/>
        </w:rPr>
        <w:t>承包人在开工前 7 天内为发包人提供能满足现场基本办公需要的办公场所和办公条件。</w:t>
      </w:r>
    </w:p>
    <w:p w14:paraId="2FD39DE6">
      <w:pPr>
        <w:spacing w:line="360" w:lineRule="auto"/>
        <w:ind w:firstLine="420" w:firstLineChars="200"/>
        <w:rPr>
          <w:rFonts w:ascii="宋体" w:hAnsi="宋体"/>
          <w:szCs w:val="21"/>
          <w:highlight w:val="none"/>
        </w:rPr>
      </w:pPr>
      <w:r>
        <w:rPr>
          <w:rFonts w:hint="eastAsia" w:ascii="宋体" w:hAnsi="宋体"/>
          <w:szCs w:val="21"/>
          <w:highlight w:val="none"/>
        </w:rPr>
        <w:t>本款第（6）项内容更改为：</w:t>
      </w:r>
    </w:p>
    <w:p w14:paraId="1B03905F">
      <w:pPr>
        <w:spacing w:line="360" w:lineRule="auto"/>
        <w:ind w:firstLine="422" w:firstLineChars="200"/>
        <w:rPr>
          <w:rFonts w:ascii="宋体" w:hAnsi="宋体"/>
          <w:b/>
          <w:szCs w:val="21"/>
          <w:highlight w:val="none"/>
        </w:rPr>
      </w:pPr>
      <w:r>
        <w:rPr>
          <w:rFonts w:hint="eastAsia" w:ascii="宋体" w:hAnsi="宋体"/>
          <w:b/>
          <w:szCs w:val="21"/>
          <w:highlight w:val="none"/>
        </w:rPr>
        <w:t>（6）遵守政府部门有关施工场地交通、环境保护、施工噪声、安全文明施工等的管理规定，办理有关手续，并以书面形式通知发包人，承包人承担由此发生的费用；</w:t>
      </w:r>
    </w:p>
    <w:p w14:paraId="3DC5B4DC">
      <w:pPr>
        <w:spacing w:line="360" w:lineRule="auto"/>
        <w:ind w:firstLine="420" w:firstLineChars="200"/>
        <w:rPr>
          <w:rFonts w:ascii="宋体" w:hAnsi="宋体"/>
          <w:szCs w:val="21"/>
          <w:highlight w:val="none"/>
        </w:rPr>
      </w:pPr>
      <w:r>
        <w:rPr>
          <w:rFonts w:hint="eastAsia" w:ascii="宋体" w:hAnsi="宋体"/>
          <w:szCs w:val="21"/>
          <w:highlight w:val="none"/>
        </w:rPr>
        <w:t xml:space="preserve">本款第（8）项内容更改为： </w:t>
      </w:r>
    </w:p>
    <w:p w14:paraId="3BF3047B">
      <w:pPr>
        <w:spacing w:line="360" w:lineRule="auto"/>
        <w:ind w:firstLine="420" w:firstLineChars="200"/>
        <w:rPr>
          <w:rFonts w:ascii="宋体" w:hAnsi="宋体"/>
          <w:szCs w:val="21"/>
          <w:highlight w:val="none"/>
        </w:rPr>
      </w:pPr>
      <w:r>
        <w:rPr>
          <w:rFonts w:hint="eastAsia" w:ascii="宋体" w:hAnsi="宋体"/>
          <w:szCs w:val="21"/>
          <w:highlight w:val="none"/>
        </w:rPr>
        <w:t>（8）做好施工场地地下管线和邻近建筑物、构筑物（包括文物保护建筑） 、古树名木的保护工作，并承担有关费用；</w:t>
      </w:r>
    </w:p>
    <w:p w14:paraId="01571CA3">
      <w:pPr>
        <w:spacing w:line="360" w:lineRule="auto"/>
        <w:ind w:firstLine="420" w:firstLineChars="200"/>
        <w:rPr>
          <w:rFonts w:ascii="宋体" w:hAnsi="宋体"/>
          <w:szCs w:val="21"/>
          <w:highlight w:val="none"/>
        </w:rPr>
      </w:pPr>
      <w:r>
        <w:rPr>
          <w:rFonts w:hint="eastAsia" w:ascii="宋体" w:hAnsi="宋体"/>
          <w:szCs w:val="21"/>
          <w:highlight w:val="none"/>
        </w:rPr>
        <w:t xml:space="preserve">本款文末增加第（11）项： </w:t>
      </w:r>
    </w:p>
    <w:p w14:paraId="54F5E300">
      <w:pPr>
        <w:spacing w:line="360" w:lineRule="auto"/>
        <w:ind w:firstLine="420" w:firstLineChars="200"/>
        <w:rPr>
          <w:rFonts w:ascii="宋体" w:hAnsi="宋体"/>
          <w:szCs w:val="21"/>
          <w:highlight w:val="none"/>
        </w:rPr>
      </w:pPr>
      <w:r>
        <w:rPr>
          <w:rFonts w:hint="eastAsia" w:ascii="宋体" w:hAnsi="宋体"/>
          <w:szCs w:val="21"/>
          <w:highlight w:val="none"/>
        </w:rPr>
        <w:t xml:space="preserve">（11）承包人应做的其他工作及承包人应付的其他责任：  </w:t>
      </w:r>
    </w:p>
    <w:p w14:paraId="5E732272">
      <w:pPr>
        <w:spacing w:line="360" w:lineRule="auto"/>
        <w:ind w:left="359" w:leftChars="171" w:firstLine="422" w:firstLineChars="200"/>
        <w:rPr>
          <w:rFonts w:ascii="宋体" w:hAnsi="宋体"/>
          <w:szCs w:val="21"/>
          <w:highlight w:val="none"/>
        </w:rPr>
      </w:pPr>
      <w:r>
        <w:rPr>
          <w:rFonts w:hint="eastAsia" w:ascii="宋体" w:hAnsi="宋体"/>
          <w:b/>
          <w:szCs w:val="21"/>
          <w:highlight w:val="none"/>
        </w:rPr>
        <w:t>招标文件中约定由承包人负责的工作或对承包人提出的要求。</w:t>
      </w:r>
    </w:p>
    <w:p w14:paraId="056C4E0D">
      <w:pPr>
        <w:rPr>
          <w:rFonts w:ascii="宋体" w:hAnsi="宋体"/>
          <w:szCs w:val="21"/>
          <w:highlight w:val="none"/>
        </w:rPr>
      </w:pPr>
      <w:bookmarkStart w:id="316" w:name="_Toc271290653"/>
      <w:bookmarkStart w:id="317" w:name="_Toc44235701"/>
      <w:bookmarkStart w:id="318" w:name="_Toc334014610"/>
      <w:bookmarkStart w:id="319" w:name="_Toc461980450"/>
      <w:bookmarkStart w:id="320" w:name="_Toc520715113"/>
      <w:bookmarkStart w:id="321" w:name="_Toc273290677"/>
      <w:bookmarkStart w:id="322" w:name="_Toc263775806"/>
      <w:bookmarkStart w:id="323" w:name="_Toc2499"/>
      <w:r>
        <w:rPr>
          <w:rFonts w:hint="eastAsia" w:ascii="宋体" w:hAnsi="宋体"/>
          <w:szCs w:val="21"/>
          <w:highlight w:val="none"/>
        </w:rPr>
        <w:t>20.4  承包人完成设计的约定</w:t>
      </w:r>
      <w:bookmarkEnd w:id="316"/>
      <w:bookmarkEnd w:id="317"/>
      <w:bookmarkEnd w:id="318"/>
      <w:bookmarkEnd w:id="319"/>
      <w:bookmarkEnd w:id="320"/>
      <w:bookmarkEnd w:id="321"/>
      <w:bookmarkEnd w:id="322"/>
      <w:bookmarkEnd w:id="323"/>
    </w:p>
    <w:p w14:paraId="608CEA9B">
      <w:pPr>
        <w:spacing w:line="360" w:lineRule="auto"/>
        <w:ind w:left="480"/>
        <w:rPr>
          <w:rFonts w:ascii="宋体" w:hAnsi="宋体"/>
          <w:szCs w:val="21"/>
          <w:highlight w:val="none"/>
        </w:rPr>
      </w:pPr>
      <w:r>
        <w:rPr>
          <w:rFonts w:hint="eastAsia" w:ascii="宋体" w:hAnsi="宋体"/>
          <w:szCs w:val="21"/>
          <w:highlight w:val="none"/>
        </w:rPr>
        <w:t>(1) 承包人负责的设计有：/。</w:t>
      </w:r>
    </w:p>
    <w:p w14:paraId="4C7C192C">
      <w:pPr>
        <w:spacing w:line="360" w:lineRule="auto"/>
        <w:ind w:left="480"/>
        <w:rPr>
          <w:rFonts w:ascii="宋体" w:hAnsi="宋体"/>
          <w:szCs w:val="21"/>
          <w:highlight w:val="none"/>
        </w:rPr>
      </w:pPr>
      <w:r>
        <w:rPr>
          <w:rFonts w:hint="eastAsia" w:ascii="宋体" w:hAnsi="宋体"/>
          <w:szCs w:val="21"/>
          <w:highlight w:val="none"/>
        </w:rPr>
        <w:t>(2) 承包人提交设计图纸的时间：/。</w:t>
      </w:r>
    </w:p>
    <w:p w14:paraId="6530E3E1">
      <w:pPr>
        <w:rPr>
          <w:rFonts w:ascii="宋体" w:hAnsi="宋体"/>
          <w:szCs w:val="21"/>
          <w:highlight w:val="none"/>
        </w:rPr>
      </w:pPr>
      <w:bookmarkStart w:id="324" w:name="_Toc44235702"/>
      <w:bookmarkStart w:id="325" w:name="_Toc520715114"/>
      <w:bookmarkStart w:id="326" w:name="_Toc334014611"/>
      <w:bookmarkStart w:id="327" w:name="_Toc461980451"/>
      <w:bookmarkStart w:id="328" w:name="_Toc273290678"/>
      <w:bookmarkStart w:id="329" w:name="_Toc3447"/>
      <w:r>
        <w:rPr>
          <w:rFonts w:hint="eastAsia" w:ascii="宋体" w:hAnsi="宋体"/>
          <w:szCs w:val="21"/>
          <w:highlight w:val="none"/>
        </w:rPr>
        <w:t>20.5  承包人为发包人的人员提供配合</w:t>
      </w:r>
      <w:bookmarkEnd w:id="324"/>
      <w:bookmarkEnd w:id="325"/>
      <w:bookmarkEnd w:id="326"/>
      <w:bookmarkEnd w:id="327"/>
      <w:bookmarkEnd w:id="328"/>
      <w:bookmarkEnd w:id="329"/>
    </w:p>
    <w:p w14:paraId="184E9DC7">
      <w:pPr>
        <w:spacing w:line="360" w:lineRule="auto"/>
        <w:ind w:firstLine="735" w:firstLineChars="350"/>
        <w:rPr>
          <w:rFonts w:ascii="宋体" w:hAnsi="宋体"/>
          <w:szCs w:val="21"/>
          <w:highlight w:val="none"/>
        </w:rPr>
      </w:pPr>
      <w:r>
        <w:rPr>
          <w:rFonts w:hint="eastAsia" w:ascii="宋体" w:hAnsi="宋体"/>
          <w:szCs w:val="21"/>
          <w:highlight w:val="none"/>
        </w:rPr>
        <w:t>整条删改为：</w:t>
      </w:r>
    </w:p>
    <w:p w14:paraId="28A8D8F6">
      <w:pPr>
        <w:spacing w:line="360" w:lineRule="auto"/>
        <w:ind w:firstLine="738" w:firstLineChars="350"/>
        <w:rPr>
          <w:rFonts w:ascii="宋体" w:hAnsi="宋体"/>
          <w:b/>
          <w:szCs w:val="21"/>
          <w:highlight w:val="none"/>
        </w:rPr>
      </w:pPr>
      <w:r>
        <w:rPr>
          <w:rFonts w:hint="eastAsia" w:ascii="宋体" w:hAnsi="宋体"/>
          <w:b/>
          <w:szCs w:val="21"/>
          <w:highlight w:val="none"/>
        </w:rPr>
        <w:t>承包人应按照合同约定或监理工程师的指令，配合和协助下述人员在施工场地或附近实施与合同工程有关的各项工作：</w:t>
      </w:r>
    </w:p>
    <w:p w14:paraId="24F0F58E">
      <w:pPr>
        <w:spacing w:line="360" w:lineRule="auto"/>
        <w:ind w:firstLine="738" w:firstLineChars="350"/>
        <w:rPr>
          <w:rFonts w:ascii="宋体" w:hAnsi="宋体"/>
          <w:b/>
          <w:szCs w:val="21"/>
          <w:highlight w:val="none"/>
        </w:rPr>
      </w:pPr>
      <w:r>
        <w:rPr>
          <w:rFonts w:hint="eastAsia" w:ascii="宋体" w:hAnsi="宋体"/>
          <w:b/>
          <w:szCs w:val="21"/>
          <w:highlight w:val="none"/>
        </w:rPr>
        <w:t>（1）发包人的工作人员；</w:t>
      </w:r>
    </w:p>
    <w:p w14:paraId="4F2DC2B7">
      <w:pPr>
        <w:spacing w:line="360" w:lineRule="auto"/>
        <w:ind w:firstLine="738" w:firstLineChars="350"/>
        <w:rPr>
          <w:rFonts w:ascii="宋体" w:hAnsi="宋体"/>
          <w:b/>
          <w:szCs w:val="21"/>
          <w:highlight w:val="none"/>
        </w:rPr>
      </w:pPr>
      <w:r>
        <w:rPr>
          <w:rFonts w:hint="eastAsia" w:ascii="宋体" w:hAnsi="宋体"/>
          <w:b/>
          <w:szCs w:val="21"/>
          <w:highlight w:val="none"/>
        </w:rPr>
        <w:t>（2）发包人的雇员；</w:t>
      </w:r>
    </w:p>
    <w:p w14:paraId="470AA489">
      <w:pPr>
        <w:spacing w:line="360" w:lineRule="auto"/>
        <w:ind w:firstLine="738" w:firstLineChars="350"/>
        <w:rPr>
          <w:rFonts w:ascii="宋体" w:hAnsi="宋体"/>
          <w:b/>
          <w:szCs w:val="21"/>
          <w:highlight w:val="none"/>
        </w:rPr>
      </w:pPr>
      <w:r>
        <w:rPr>
          <w:rFonts w:hint="eastAsia" w:ascii="宋体" w:hAnsi="宋体"/>
          <w:b/>
          <w:szCs w:val="21"/>
          <w:highlight w:val="none"/>
        </w:rPr>
        <w:t>（3）任何监督管理机构的执法人员；</w:t>
      </w:r>
    </w:p>
    <w:p w14:paraId="467C3904">
      <w:pPr>
        <w:spacing w:line="360" w:lineRule="auto"/>
        <w:ind w:firstLine="738" w:firstLineChars="350"/>
        <w:rPr>
          <w:rFonts w:ascii="宋体" w:hAnsi="宋体"/>
          <w:b/>
          <w:szCs w:val="21"/>
          <w:highlight w:val="none"/>
        </w:rPr>
      </w:pPr>
      <w:r>
        <w:rPr>
          <w:rFonts w:hint="eastAsia" w:ascii="宋体" w:hAnsi="宋体"/>
          <w:b/>
          <w:szCs w:val="21"/>
          <w:highlight w:val="none"/>
        </w:rPr>
        <w:t>（4）负责本工程监理工作的监理人员。</w:t>
      </w:r>
    </w:p>
    <w:p w14:paraId="7BBA566E">
      <w:pPr>
        <w:spacing w:line="360" w:lineRule="auto"/>
        <w:ind w:firstLine="738" w:firstLineChars="350"/>
        <w:rPr>
          <w:rFonts w:ascii="宋体" w:hAnsi="宋体"/>
          <w:b/>
          <w:szCs w:val="21"/>
          <w:highlight w:val="none"/>
        </w:rPr>
      </w:pPr>
      <w:r>
        <w:rPr>
          <w:rFonts w:hint="eastAsia" w:ascii="宋体" w:hAnsi="宋体"/>
          <w:b/>
          <w:szCs w:val="21"/>
          <w:highlight w:val="none"/>
        </w:rPr>
        <w:t>所涉及的有关费用发包人不另补偿给承包人。</w:t>
      </w:r>
    </w:p>
    <w:p w14:paraId="66765332">
      <w:pPr>
        <w:spacing w:line="360" w:lineRule="auto"/>
        <w:ind w:firstLine="420" w:firstLineChars="200"/>
        <w:rPr>
          <w:rFonts w:ascii="宋体" w:hAnsi="宋体"/>
          <w:szCs w:val="21"/>
          <w:highlight w:val="none"/>
        </w:rPr>
      </w:pPr>
      <w:r>
        <w:rPr>
          <w:rFonts w:hint="eastAsia" w:ascii="宋体" w:hAnsi="宋体"/>
          <w:szCs w:val="21"/>
          <w:highlight w:val="none"/>
        </w:rPr>
        <w:t xml:space="preserve">20.7 承包人未尽义务的责任 </w:t>
      </w:r>
    </w:p>
    <w:p w14:paraId="7724D74E">
      <w:pPr>
        <w:spacing w:line="360" w:lineRule="auto"/>
        <w:ind w:firstLine="420" w:firstLineChars="200"/>
        <w:rPr>
          <w:rFonts w:ascii="宋体" w:hAnsi="宋体"/>
          <w:szCs w:val="21"/>
          <w:highlight w:val="none"/>
        </w:rPr>
      </w:pPr>
      <w:r>
        <w:rPr>
          <w:rFonts w:hint="eastAsia" w:ascii="宋体" w:hAnsi="宋体"/>
          <w:szCs w:val="21"/>
          <w:highlight w:val="none"/>
        </w:rPr>
        <w:t>本款文末增加：“</w:t>
      </w:r>
      <w:r>
        <w:rPr>
          <w:rFonts w:hint="eastAsia" w:ascii="宋体" w:hAnsi="宋体"/>
          <w:b/>
          <w:szCs w:val="21"/>
          <w:highlight w:val="none"/>
        </w:rPr>
        <w:t>承包人未按本合同条款或招标文件有关条款要求执行时，合同条款或招标文件有关条款有处罚约定的，发包人将按约定对承包人作出处罚</w:t>
      </w:r>
      <w:r>
        <w:rPr>
          <w:rFonts w:hint="eastAsia" w:ascii="宋体" w:hAnsi="宋体"/>
          <w:szCs w:val="21"/>
          <w:highlight w:val="none"/>
        </w:rPr>
        <w:t>”。</w:t>
      </w:r>
    </w:p>
    <w:p w14:paraId="7039BA3A">
      <w:pPr>
        <w:pStyle w:val="6"/>
        <w:rPr>
          <w:szCs w:val="24"/>
          <w:highlight w:val="none"/>
        </w:rPr>
      </w:pPr>
      <w:bookmarkStart w:id="330" w:name="_Toc273290679"/>
      <w:bookmarkStart w:id="331" w:name="_Toc271290654"/>
      <w:bookmarkStart w:id="332" w:name="_Toc520715115"/>
      <w:bookmarkStart w:id="333" w:name="_Toc30184"/>
      <w:bookmarkStart w:id="334" w:name="_Toc254775514"/>
      <w:bookmarkStart w:id="335" w:name="_Toc461980452"/>
      <w:r>
        <w:rPr>
          <w:rFonts w:hint="eastAsia"/>
          <w:szCs w:val="24"/>
          <w:highlight w:val="none"/>
        </w:rPr>
        <w:t>21、现场管理人员任命和更换</w:t>
      </w:r>
      <w:bookmarkEnd w:id="330"/>
      <w:bookmarkEnd w:id="331"/>
      <w:bookmarkEnd w:id="332"/>
      <w:bookmarkEnd w:id="333"/>
      <w:bookmarkEnd w:id="334"/>
      <w:bookmarkEnd w:id="335"/>
    </w:p>
    <w:p w14:paraId="02C6ED92">
      <w:pPr>
        <w:rPr>
          <w:rFonts w:ascii="宋体" w:hAnsi="宋体"/>
          <w:szCs w:val="21"/>
          <w:highlight w:val="none"/>
        </w:rPr>
      </w:pPr>
      <w:bookmarkStart w:id="336" w:name="_Toc334014613"/>
      <w:bookmarkStart w:id="337" w:name="_Toc19996"/>
      <w:bookmarkStart w:id="338" w:name="_Toc520715116"/>
      <w:bookmarkStart w:id="339" w:name="_Toc461980453"/>
      <w:bookmarkStart w:id="340" w:name="_Toc271290655"/>
      <w:bookmarkStart w:id="341" w:name="_Toc263775808"/>
      <w:bookmarkStart w:id="342" w:name="_Toc44235703"/>
      <w:bookmarkStart w:id="343" w:name="_Toc273290680"/>
      <w:r>
        <w:rPr>
          <w:rFonts w:hint="eastAsia" w:ascii="宋体" w:hAnsi="宋体"/>
          <w:szCs w:val="21"/>
          <w:highlight w:val="none"/>
        </w:rPr>
        <w:t>21.2   承包人代表任命和更换</w:t>
      </w:r>
      <w:bookmarkEnd w:id="336"/>
      <w:bookmarkEnd w:id="337"/>
      <w:bookmarkEnd w:id="338"/>
      <w:bookmarkEnd w:id="339"/>
      <w:bookmarkEnd w:id="340"/>
      <w:bookmarkEnd w:id="341"/>
      <w:bookmarkEnd w:id="342"/>
      <w:bookmarkEnd w:id="343"/>
    </w:p>
    <w:p w14:paraId="216E6C52">
      <w:pPr>
        <w:pStyle w:val="12"/>
        <w:adjustRightInd w:val="0"/>
        <w:snapToGrid w:val="0"/>
        <w:spacing w:line="360" w:lineRule="auto"/>
        <w:ind w:right="-240" w:firstLine="420" w:firstLineChars="200"/>
        <w:rPr>
          <w:rFonts w:hAnsi="宋体"/>
          <w:szCs w:val="21"/>
          <w:highlight w:val="none"/>
        </w:rPr>
      </w:pPr>
      <w:r>
        <w:rPr>
          <w:rFonts w:hint="eastAsia" w:hAnsi="宋体"/>
          <w:szCs w:val="21"/>
          <w:highlight w:val="none"/>
        </w:rPr>
        <w:t>本款更改为：</w:t>
      </w:r>
    </w:p>
    <w:p w14:paraId="32204FFA">
      <w:pPr>
        <w:pStyle w:val="12"/>
        <w:adjustRightInd w:val="0"/>
        <w:snapToGrid w:val="0"/>
        <w:spacing w:line="360" w:lineRule="auto"/>
        <w:ind w:right="-240" w:firstLine="420" w:firstLineChars="200"/>
        <w:rPr>
          <w:rFonts w:hAnsi="宋体"/>
          <w:szCs w:val="21"/>
          <w:highlight w:val="none"/>
        </w:rPr>
      </w:pPr>
      <w:r>
        <w:rPr>
          <w:rFonts w:hint="eastAsia" w:hAnsi="宋体"/>
          <w:szCs w:val="21"/>
          <w:highlight w:val="none"/>
        </w:rPr>
        <w:t>承包人应任命代表承包人工作的承包人代表，该代表应为投标文件所载明的拟安排于本工程的</w:t>
      </w:r>
      <w:r>
        <w:rPr>
          <w:rFonts w:hint="eastAsia" w:hAnsi="宋体"/>
          <w:b/>
          <w:bCs/>
          <w:szCs w:val="21"/>
          <w:highlight w:val="none"/>
        </w:rPr>
        <w:t>建造师</w:t>
      </w:r>
      <w:r>
        <w:rPr>
          <w:rFonts w:hint="eastAsia" w:hAnsi="宋体"/>
          <w:szCs w:val="21"/>
          <w:highlight w:val="none"/>
        </w:rPr>
        <w:t>，并在专用条款中写明。</w:t>
      </w:r>
    </w:p>
    <w:p w14:paraId="7A3CC272">
      <w:pPr>
        <w:pStyle w:val="12"/>
        <w:adjustRightInd w:val="0"/>
        <w:snapToGrid w:val="0"/>
        <w:spacing w:line="360" w:lineRule="auto"/>
        <w:ind w:right="-240" w:firstLine="420" w:firstLineChars="200"/>
        <w:rPr>
          <w:rFonts w:hAnsi="宋体"/>
          <w:szCs w:val="21"/>
          <w:highlight w:val="none"/>
        </w:rPr>
      </w:pPr>
      <w:r>
        <w:rPr>
          <w:rFonts w:hint="eastAsia" w:hAnsi="宋体"/>
          <w:szCs w:val="21"/>
          <w:highlight w:val="none"/>
        </w:rPr>
        <w:t>承包人代表除发生下列情形之一外，不得更换：</w:t>
      </w:r>
    </w:p>
    <w:p w14:paraId="62048931">
      <w:pPr>
        <w:spacing w:line="360" w:lineRule="auto"/>
        <w:ind w:firstLine="422" w:firstLineChars="200"/>
        <w:rPr>
          <w:rFonts w:ascii="宋体" w:hAnsi="宋体"/>
          <w:b/>
          <w:szCs w:val="21"/>
          <w:highlight w:val="none"/>
        </w:rPr>
      </w:pPr>
      <w:r>
        <w:rPr>
          <w:rFonts w:hint="eastAsia" w:ascii="宋体" w:hAnsi="宋体"/>
          <w:b/>
          <w:szCs w:val="21"/>
          <w:highlight w:val="none"/>
        </w:rPr>
        <w:t>(1) 因重病或重伤（持有县、区以上医院证明）两个月以上不能履行职责的；</w:t>
      </w:r>
    </w:p>
    <w:p w14:paraId="549440F6">
      <w:pPr>
        <w:spacing w:line="360" w:lineRule="auto"/>
        <w:ind w:firstLine="422" w:firstLineChars="200"/>
        <w:rPr>
          <w:rFonts w:ascii="宋体" w:hAnsi="宋体"/>
          <w:b/>
          <w:szCs w:val="21"/>
          <w:highlight w:val="none"/>
        </w:rPr>
      </w:pPr>
      <w:r>
        <w:rPr>
          <w:rFonts w:hint="eastAsia" w:ascii="宋体" w:hAnsi="宋体"/>
          <w:b/>
          <w:szCs w:val="21"/>
          <w:highlight w:val="none"/>
        </w:rPr>
        <w:t>(2) 主动辞职；（在合同签订完后三个月内主动辞职的例外）</w:t>
      </w:r>
    </w:p>
    <w:p w14:paraId="6D461453">
      <w:pPr>
        <w:spacing w:line="360" w:lineRule="auto"/>
        <w:ind w:firstLine="422" w:firstLineChars="200"/>
        <w:rPr>
          <w:rFonts w:ascii="宋体" w:hAnsi="宋体"/>
          <w:b/>
          <w:szCs w:val="21"/>
          <w:highlight w:val="none"/>
        </w:rPr>
      </w:pPr>
      <w:r>
        <w:rPr>
          <w:rFonts w:hint="eastAsia" w:ascii="宋体" w:hAnsi="宋体"/>
          <w:b/>
          <w:szCs w:val="21"/>
          <w:highlight w:val="none"/>
        </w:rPr>
        <w:t>(3) 因管理原因发生重大工程质量、安全事故，监理人认为该总监不称职需要更换的；</w:t>
      </w:r>
    </w:p>
    <w:p w14:paraId="1F5C2AFC">
      <w:pPr>
        <w:spacing w:line="360" w:lineRule="auto"/>
        <w:ind w:firstLine="422" w:firstLineChars="200"/>
        <w:rPr>
          <w:rFonts w:ascii="宋体" w:hAnsi="宋体"/>
          <w:b/>
          <w:szCs w:val="21"/>
          <w:highlight w:val="none"/>
        </w:rPr>
      </w:pPr>
      <w:r>
        <w:rPr>
          <w:rFonts w:hint="eastAsia" w:ascii="宋体" w:hAnsi="宋体"/>
          <w:b/>
          <w:szCs w:val="21"/>
          <w:highlight w:val="none"/>
        </w:rPr>
        <w:t>(4) 无能力履行合同的责任和义务，造成严重后果，委托人要求更换的；</w:t>
      </w:r>
    </w:p>
    <w:p w14:paraId="4B0E78D3">
      <w:pPr>
        <w:spacing w:line="360" w:lineRule="auto"/>
        <w:ind w:firstLine="422" w:firstLineChars="200"/>
        <w:rPr>
          <w:rFonts w:ascii="宋体" w:hAnsi="宋体"/>
          <w:b/>
          <w:szCs w:val="21"/>
          <w:highlight w:val="none"/>
        </w:rPr>
      </w:pPr>
      <w:r>
        <w:rPr>
          <w:rFonts w:hint="eastAsia" w:ascii="宋体" w:hAnsi="宋体"/>
          <w:b/>
          <w:szCs w:val="21"/>
          <w:highlight w:val="none"/>
        </w:rPr>
        <w:t>(5) 因违法被责令停止执业的；</w:t>
      </w:r>
    </w:p>
    <w:p w14:paraId="2067C013">
      <w:pPr>
        <w:spacing w:line="360" w:lineRule="auto"/>
        <w:ind w:firstLine="422" w:firstLineChars="200"/>
        <w:rPr>
          <w:rFonts w:ascii="宋体" w:hAnsi="宋体"/>
          <w:b/>
          <w:szCs w:val="21"/>
          <w:highlight w:val="none"/>
        </w:rPr>
      </w:pPr>
      <w:r>
        <w:rPr>
          <w:rFonts w:hint="eastAsia" w:ascii="宋体" w:hAnsi="宋体"/>
          <w:b/>
          <w:szCs w:val="21"/>
          <w:highlight w:val="none"/>
        </w:rPr>
        <w:t>(6) 被司法机关羁押或判刑的；</w:t>
      </w:r>
    </w:p>
    <w:p w14:paraId="3968340E">
      <w:pPr>
        <w:spacing w:line="360" w:lineRule="auto"/>
        <w:ind w:firstLine="422" w:firstLineChars="200"/>
        <w:rPr>
          <w:rFonts w:ascii="宋体" w:hAnsi="宋体"/>
          <w:b/>
          <w:szCs w:val="21"/>
          <w:highlight w:val="none"/>
        </w:rPr>
      </w:pPr>
      <w:r>
        <w:rPr>
          <w:rFonts w:hint="eastAsia" w:ascii="宋体" w:hAnsi="宋体"/>
          <w:b/>
          <w:szCs w:val="21"/>
          <w:highlight w:val="none"/>
        </w:rPr>
        <w:t>(7) 死亡的。</w:t>
      </w:r>
    </w:p>
    <w:p w14:paraId="73436419">
      <w:pPr>
        <w:spacing w:line="360" w:lineRule="auto"/>
        <w:ind w:firstLine="422" w:firstLineChars="200"/>
        <w:rPr>
          <w:rFonts w:ascii="宋体" w:hAnsi="宋体"/>
          <w:szCs w:val="21"/>
          <w:highlight w:val="none"/>
        </w:rPr>
      </w:pPr>
      <w:r>
        <w:rPr>
          <w:rFonts w:hint="eastAsia" w:ascii="宋体" w:hAnsi="宋体"/>
          <w:b/>
          <w:szCs w:val="21"/>
          <w:highlight w:val="none"/>
        </w:rPr>
        <w:t>承包人除发生上述情形外自行更换承包人代表，其更换无效，承包人承担违约责任。更换承包人代表的，其更换人员须不低于原承包人代表的资质、资历条件，且为承包人的企业员工（至少在承包人企业工作满一年，须提供近一年人社保清单作证明），而且至少提前7天以书面形式通知发包人，发包人应在收到通知后7天内予以答复，否则视为同意。后任承包人代表应继续行使合同约定的承包人代表的职权和履行相应的义务。</w:t>
      </w:r>
    </w:p>
    <w:p w14:paraId="7405FF7D">
      <w:pPr>
        <w:pStyle w:val="6"/>
        <w:rPr>
          <w:szCs w:val="24"/>
          <w:highlight w:val="none"/>
        </w:rPr>
      </w:pPr>
      <w:bookmarkStart w:id="344" w:name="_Toc271290656"/>
      <w:bookmarkStart w:id="345" w:name="_Toc254775515"/>
      <w:bookmarkStart w:id="346" w:name="_Toc461980454"/>
      <w:bookmarkStart w:id="347" w:name="_Toc520715117"/>
      <w:bookmarkStart w:id="348" w:name="_Toc273290681"/>
      <w:bookmarkStart w:id="349" w:name="_Toc3158"/>
      <w:r>
        <w:rPr>
          <w:rFonts w:hint="eastAsia"/>
          <w:szCs w:val="24"/>
          <w:highlight w:val="none"/>
        </w:rPr>
        <w:t>22、发包人代表</w:t>
      </w:r>
      <w:bookmarkEnd w:id="344"/>
      <w:bookmarkEnd w:id="345"/>
      <w:bookmarkEnd w:id="346"/>
      <w:bookmarkEnd w:id="347"/>
      <w:bookmarkEnd w:id="348"/>
      <w:bookmarkEnd w:id="349"/>
    </w:p>
    <w:p w14:paraId="460ABEE3">
      <w:pPr>
        <w:rPr>
          <w:rFonts w:ascii="宋体" w:hAnsi="宋体"/>
          <w:szCs w:val="21"/>
          <w:highlight w:val="none"/>
        </w:rPr>
      </w:pPr>
      <w:bookmarkStart w:id="350" w:name="_Toc19154"/>
      <w:bookmarkStart w:id="351" w:name="_Toc271290657"/>
      <w:bookmarkStart w:id="352" w:name="_Toc461980455"/>
      <w:bookmarkStart w:id="353" w:name="_Toc273290682"/>
      <w:bookmarkStart w:id="354" w:name="_Toc44235704"/>
      <w:bookmarkStart w:id="355" w:name="_Toc334014615"/>
      <w:bookmarkStart w:id="356" w:name="_Toc520715118"/>
      <w:bookmarkStart w:id="357" w:name="_Toc263775810"/>
      <w:r>
        <w:rPr>
          <w:rFonts w:hint="eastAsia" w:ascii="宋体" w:hAnsi="宋体"/>
          <w:szCs w:val="21"/>
          <w:highlight w:val="none"/>
        </w:rPr>
        <w:t>22.1  发包人代表及其权力的限制</w:t>
      </w:r>
      <w:bookmarkEnd w:id="350"/>
      <w:bookmarkEnd w:id="351"/>
      <w:bookmarkEnd w:id="352"/>
      <w:bookmarkEnd w:id="353"/>
      <w:bookmarkEnd w:id="354"/>
      <w:bookmarkEnd w:id="355"/>
      <w:bookmarkEnd w:id="356"/>
      <w:bookmarkEnd w:id="357"/>
    </w:p>
    <w:p w14:paraId="2BE21EDE">
      <w:pPr>
        <w:spacing w:line="360" w:lineRule="auto"/>
        <w:ind w:firstLine="420" w:firstLineChars="200"/>
        <w:rPr>
          <w:rFonts w:ascii="宋体" w:hAnsi="宋体"/>
          <w:szCs w:val="21"/>
          <w:highlight w:val="none"/>
        </w:rPr>
      </w:pPr>
      <w:r>
        <w:rPr>
          <w:rFonts w:hint="eastAsia" w:ascii="宋体" w:hAnsi="宋体"/>
          <w:szCs w:val="21"/>
          <w:highlight w:val="none"/>
        </w:rPr>
        <w:t>(1) 发包人任命（             ）为发包人代表，其联络通讯地址如下：</w:t>
      </w:r>
    </w:p>
    <w:p w14:paraId="48103108">
      <w:pPr>
        <w:spacing w:line="360" w:lineRule="auto"/>
        <w:ind w:firstLine="840" w:firstLineChars="400"/>
        <w:rPr>
          <w:rFonts w:ascii="宋体" w:hAnsi="宋体"/>
          <w:szCs w:val="21"/>
          <w:highlight w:val="none"/>
        </w:rPr>
      </w:pPr>
      <w:r>
        <w:rPr>
          <w:rFonts w:hint="eastAsia" w:ascii="宋体" w:hAnsi="宋体"/>
          <w:szCs w:val="21"/>
          <w:highlight w:val="none"/>
        </w:rPr>
        <w:t>通讯地址：                               邮政编码：</w:t>
      </w:r>
    </w:p>
    <w:p w14:paraId="69ED4A70">
      <w:pPr>
        <w:spacing w:line="360" w:lineRule="auto"/>
        <w:ind w:firstLine="840" w:firstLineChars="400"/>
        <w:rPr>
          <w:rFonts w:ascii="宋体" w:hAnsi="宋体"/>
          <w:szCs w:val="21"/>
          <w:highlight w:val="none"/>
        </w:rPr>
      </w:pPr>
      <w:r>
        <w:rPr>
          <w:rFonts w:hint="eastAsia" w:ascii="宋体" w:hAnsi="宋体"/>
          <w:szCs w:val="21"/>
          <w:highlight w:val="none"/>
        </w:rPr>
        <w:t>联系电话：                               传真号码：</w:t>
      </w:r>
    </w:p>
    <w:p w14:paraId="354BDB04">
      <w:pPr>
        <w:spacing w:line="360" w:lineRule="auto"/>
        <w:ind w:firstLine="420" w:firstLineChars="200"/>
        <w:rPr>
          <w:rFonts w:ascii="宋体" w:hAnsi="宋体"/>
          <w:szCs w:val="21"/>
          <w:highlight w:val="none"/>
        </w:rPr>
      </w:pPr>
      <w:r>
        <w:rPr>
          <w:rFonts w:hint="eastAsia" w:ascii="宋体" w:hAnsi="宋体"/>
          <w:szCs w:val="21"/>
          <w:highlight w:val="none"/>
        </w:rPr>
        <w:t xml:space="preserve"> (2)  发包人对发包人代表权力做如下限制：由发包人另行发文通知。</w:t>
      </w:r>
    </w:p>
    <w:p w14:paraId="30AD42D8">
      <w:pPr>
        <w:pStyle w:val="6"/>
        <w:rPr>
          <w:szCs w:val="24"/>
          <w:highlight w:val="none"/>
        </w:rPr>
      </w:pPr>
      <w:bookmarkStart w:id="358" w:name="_Toc273290683"/>
      <w:bookmarkStart w:id="359" w:name="_Toc461980456"/>
      <w:bookmarkStart w:id="360" w:name="_Toc31445"/>
      <w:bookmarkStart w:id="361" w:name="_Toc271290658"/>
      <w:bookmarkStart w:id="362" w:name="_Toc254775516"/>
      <w:bookmarkStart w:id="363" w:name="_Toc520715119"/>
      <w:r>
        <w:rPr>
          <w:rFonts w:hint="eastAsia"/>
          <w:szCs w:val="24"/>
          <w:highlight w:val="none"/>
        </w:rPr>
        <w:t>23、监理工程师</w:t>
      </w:r>
      <w:bookmarkEnd w:id="358"/>
      <w:bookmarkEnd w:id="359"/>
      <w:bookmarkEnd w:id="360"/>
      <w:bookmarkEnd w:id="361"/>
      <w:bookmarkEnd w:id="362"/>
      <w:bookmarkEnd w:id="363"/>
    </w:p>
    <w:p w14:paraId="33C2E637">
      <w:pPr>
        <w:rPr>
          <w:rFonts w:ascii="宋体" w:hAnsi="宋体"/>
          <w:szCs w:val="21"/>
          <w:highlight w:val="none"/>
        </w:rPr>
      </w:pPr>
      <w:bookmarkStart w:id="364" w:name="_Toc273290684"/>
      <w:bookmarkStart w:id="365" w:name="_Toc461980457"/>
      <w:bookmarkStart w:id="366" w:name="_Toc25501"/>
      <w:bookmarkStart w:id="367" w:name="_Toc334014617"/>
      <w:bookmarkStart w:id="368" w:name="_Toc271290659"/>
      <w:bookmarkStart w:id="369" w:name="_Toc263775812"/>
      <w:bookmarkStart w:id="370" w:name="_Toc520715120"/>
      <w:bookmarkStart w:id="371" w:name="_Toc44235705"/>
      <w:r>
        <w:rPr>
          <w:rFonts w:hint="eastAsia" w:ascii="宋体" w:hAnsi="宋体"/>
          <w:szCs w:val="21"/>
          <w:highlight w:val="none"/>
        </w:rPr>
        <w:t>23.1  负责合同工程的监理单位及任命的监理工程师</w:t>
      </w:r>
      <w:bookmarkEnd w:id="364"/>
      <w:bookmarkEnd w:id="365"/>
      <w:bookmarkEnd w:id="366"/>
      <w:bookmarkEnd w:id="367"/>
      <w:bookmarkEnd w:id="368"/>
      <w:bookmarkEnd w:id="369"/>
      <w:bookmarkEnd w:id="370"/>
      <w:bookmarkEnd w:id="371"/>
    </w:p>
    <w:p w14:paraId="0E477FE6">
      <w:pPr>
        <w:spacing w:line="360" w:lineRule="auto"/>
        <w:ind w:firstLine="420" w:firstLineChars="200"/>
        <w:rPr>
          <w:rFonts w:ascii="宋体" w:hAnsi="宋体"/>
          <w:szCs w:val="21"/>
          <w:highlight w:val="none"/>
        </w:rPr>
      </w:pPr>
      <w:r>
        <w:rPr>
          <w:rFonts w:hint="eastAsia" w:ascii="宋体" w:hAnsi="宋体"/>
          <w:szCs w:val="21"/>
          <w:highlight w:val="none"/>
        </w:rPr>
        <w:t>(1)监理单位：                            法定代表人 ：</w:t>
      </w:r>
    </w:p>
    <w:p w14:paraId="65061201">
      <w:pPr>
        <w:spacing w:line="360" w:lineRule="auto"/>
        <w:ind w:firstLine="420" w:firstLineChars="200"/>
        <w:rPr>
          <w:rFonts w:ascii="宋体" w:hAnsi="宋体"/>
          <w:szCs w:val="21"/>
          <w:highlight w:val="none"/>
        </w:rPr>
      </w:pPr>
      <w:r>
        <w:rPr>
          <w:rFonts w:hint="eastAsia" w:ascii="宋体" w:hAnsi="宋体"/>
          <w:szCs w:val="21"/>
          <w:highlight w:val="none"/>
        </w:rPr>
        <w:t>(2)任命（             ）为监理工程师，其联络通讯地址如下：</w:t>
      </w:r>
    </w:p>
    <w:p w14:paraId="7E058097">
      <w:pPr>
        <w:spacing w:line="360" w:lineRule="auto"/>
        <w:ind w:firstLine="840" w:firstLineChars="400"/>
        <w:rPr>
          <w:rFonts w:ascii="宋体" w:hAnsi="宋体"/>
          <w:szCs w:val="21"/>
          <w:highlight w:val="none"/>
        </w:rPr>
      </w:pPr>
      <w:r>
        <w:rPr>
          <w:rFonts w:hint="eastAsia" w:ascii="宋体" w:hAnsi="宋体"/>
          <w:szCs w:val="21"/>
          <w:highlight w:val="none"/>
        </w:rPr>
        <w:t>通讯地址：                               邮政编码：</w:t>
      </w:r>
    </w:p>
    <w:p w14:paraId="0E8C201F">
      <w:pPr>
        <w:spacing w:line="360" w:lineRule="auto"/>
        <w:ind w:firstLine="840" w:firstLineChars="400"/>
        <w:rPr>
          <w:rFonts w:ascii="宋体" w:hAnsi="宋体"/>
          <w:szCs w:val="21"/>
          <w:highlight w:val="none"/>
        </w:rPr>
      </w:pPr>
      <w:r>
        <w:rPr>
          <w:rFonts w:hint="eastAsia" w:ascii="宋体" w:hAnsi="宋体"/>
          <w:szCs w:val="21"/>
          <w:highlight w:val="none"/>
        </w:rPr>
        <w:t>联系电话：                               传真号码：</w:t>
      </w:r>
    </w:p>
    <w:p w14:paraId="0ADB8620">
      <w:pPr>
        <w:rPr>
          <w:rFonts w:ascii="宋体" w:hAnsi="宋体"/>
          <w:szCs w:val="21"/>
          <w:highlight w:val="none"/>
        </w:rPr>
      </w:pPr>
      <w:bookmarkStart w:id="372" w:name="_Toc461980458"/>
      <w:bookmarkStart w:id="373" w:name="_Toc520715121"/>
      <w:bookmarkStart w:id="374" w:name="_Toc19778"/>
      <w:bookmarkStart w:id="375" w:name="_Toc263775813"/>
      <w:bookmarkStart w:id="376" w:name="_Toc271290660"/>
      <w:bookmarkStart w:id="377" w:name="_Toc273290685"/>
      <w:bookmarkStart w:id="378" w:name="_Toc334014618"/>
      <w:bookmarkStart w:id="379" w:name="_Toc44235706"/>
      <w:r>
        <w:rPr>
          <w:rFonts w:hint="eastAsia" w:ascii="宋体" w:hAnsi="宋体"/>
          <w:szCs w:val="21"/>
          <w:highlight w:val="none"/>
        </w:rPr>
        <w:t xml:space="preserve">23.3  </w:t>
      </w:r>
      <w:r>
        <w:rPr>
          <w:rFonts w:hint="eastAsia" w:ascii="宋体" w:hAnsi="宋体"/>
          <w:b/>
          <w:szCs w:val="21"/>
          <w:highlight w:val="none"/>
        </w:rPr>
        <w:t>（12）</w:t>
      </w:r>
      <w:r>
        <w:rPr>
          <w:rFonts w:hint="eastAsia" w:ascii="宋体" w:hAnsi="宋体"/>
          <w:szCs w:val="21"/>
          <w:highlight w:val="none"/>
        </w:rPr>
        <w:t>需要发包人批准的其他事项：</w:t>
      </w:r>
      <w:bookmarkEnd w:id="372"/>
      <w:bookmarkEnd w:id="373"/>
      <w:bookmarkEnd w:id="374"/>
      <w:bookmarkEnd w:id="375"/>
      <w:bookmarkEnd w:id="376"/>
      <w:bookmarkEnd w:id="377"/>
      <w:bookmarkEnd w:id="378"/>
      <w:r>
        <w:rPr>
          <w:rFonts w:hint="eastAsia" w:ascii="宋体" w:hAnsi="宋体" w:cs="宋体"/>
          <w:b/>
          <w:szCs w:val="21"/>
          <w:highlight w:val="none"/>
        </w:rPr>
        <w:t>具体涉及监理合同约定的重大变更或合同价款的事项必须经发包人批准。</w:t>
      </w:r>
      <w:bookmarkEnd w:id="379"/>
    </w:p>
    <w:p w14:paraId="2B9D8FAE">
      <w:pPr>
        <w:pStyle w:val="6"/>
        <w:rPr>
          <w:szCs w:val="24"/>
          <w:highlight w:val="none"/>
        </w:rPr>
      </w:pPr>
      <w:bookmarkStart w:id="380" w:name="_Toc254775517"/>
      <w:bookmarkStart w:id="381" w:name="_Toc271290661"/>
      <w:bookmarkStart w:id="382" w:name="_Toc14603"/>
      <w:bookmarkStart w:id="383" w:name="_Toc461980459"/>
      <w:bookmarkStart w:id="384" w:name="_Toc273290686"/>
      <w:bookmarkStart w:id="385" w:name="_Toc520715122"/>
      <w:r>
        <w:rPr>
          <w:rFonts w:hint="eastAsia"/>
          <w:szCs w:val="24"/>
          <w:highlight w:val="none"/>
        </w:rPr>
        <w:t>24、造价工程师</w:t>
      </w:r>
      <w:bookmarkEnd w:id="380"/>
      <w:bookmarkEnd w:id="381"/>
      <w:bookmarkEnd w:id="382"/>
      <w:bookmarkEnd w:id="383"/>
      <w:bookmarkEnd w:id="384"/>
      <w:bookmarkEnd w:id="385"/>
    </w:p>
    <w:p w14:paraId="3F088D15">
      <w:pPr>
        <w:rPr>
          <w:rFonts w:ascii="宋体" w:hAnsi="宋体"/>
          <w:szCs w:val="21"/>
          <w:highlight w:val="none"/>
        </w:rPr>
      </w:pPr>
      <w:bookmarkStart w:id="386" w:name="_Toc461980460"/>
      <w:bookmarkStart w:id="387" w:name="_Toc334014620"/>
      <w:bookmarkStart w:id="388" w:name="_Toc271290662"/>
      <w:bookmarkStart w:id="389" w:name="_Toc263775815"/>
      <w:bookmarkStart w:id="390" w:name="_Toc32121"/>
      <w:bookmarkStart w:id="391" w:name="_Toc520715123"/>
      <w:bookmarkStart w:id="392" w:name="_Toc44235707"/>
      <w:bookmarkStart w:id="393" w:name="_Toc273290687"/>
      <w:r>
        <w:rPr>
          <w:rFonts w:hint="eastAsia" w:ascii="宋体" w:hAnsi="宋体"/>
          <w:szCs w:val="21"/>
          <w:highlight w:val="none"/>
        </w:rPr>
        <w:t>24.1 负责合同工程的造价咨询单位及任命的造价工程师</w:t>
      </w:r>
      <w:bookmarkEnd w:id="386"/>
      <w:bookmarkEnd w:id="387"/>
      <w:bookmarkEnd w:id="388"/>
      <w:bookmarkEnd w:id="389"/>
      <w:bookmarkEnd w:id="390"/>
      <w:bookmarkEnd w:id="391"/>
      <w:bookmarkEnd w:id="392"/>
      <w:bookmarkEnd w:id="393"/>
    </w:p>
    <w:p w14:paraId="12DDD4AC">
      <w:pPr>
        <w:spacing w:line="360" w:lineRule="auto"/>
        <w:ind w:firstLine="420" w:firstLineChars="200"/>
        <w:rPr>
          <w:rFonts w:ascii="宋体" w:hAnsi="宋体"/>
          <w:szCs w:val="21"/>
          <w:highlight w:val="none"/>
        </w:rPr>
      </w:pPr>
      <w:r>
        <w:rPr>
          <w:rFonts w:hint="eastAsia" w:ascii="宋体" w:hAnsi="宋体"/>
          <w:szCs w:val="21"/>
          <w:highlight w:val="none"/>
        </w:rPr>
        <w:t>本合同中明文规定或必然隐含的应由造价工程师行使的职权，由监理单位依据监理合同的规定委派相应人员负责行使。（工程结算及工程决算除外）</w:t>
      </w:r>
    </w:p>
    <w:p w14:paraId="3FA4816A">
      <w:pPr>
        <w:rPr>
          <w:rFonts w:ascii="宋体" w:hAnsi="宋体"/>
          <w:szCs w:val="21"/>
          <w:highlight w:val="none"/>
        </w:rPr>
      </w:pPr>
      <w:bookmarkStart w:id="394" w:name="_Toc44235708"/>
      <w:r>
        <w:rPr>
          <w:rFonts w:hint="eastAsia" w:ascii="宋体" w:hAnsi="宋体"/>
          <w:szCs w:val="21"/>
          <w:highlight w:val="none"/>
        </w:rPr>
        <w:t>24.3（7）  需要发包人批准的其他事项：</w:t>
      </w:r>
      <w:r>
        <w:rPr>
          <w:rFonts w:hint="eastAsia" w:ascii="宋体" w:hAnsi="宋体"/>
          <w:b/>
          <w:szCs w:val="21"/>
          <w:highlight w:val="none"/>
        </w:rPr>
        <w:t>本合同中明文规定或必然隐含的应由造价工程师行使的职权，由监理单位依据监理合同的规定委派相应人员负责行使（工程结算及工程决算除外）并另行发文通知。</w:t>
      </w:r>
      <w:bookmarkEnd w:id="394"/>
    </w:p>
    <w:p w14:paraId="5987210A">
      <w:pPr>
        <w:pStyle w:val="6"/>
        <w:rPr>
          <w:szCs w:val="24"/>
          <w:highlight w:val="none"/>
        </w:rPr>
      </w:pPr>
      <w:bookmarkStart w:id="395" w:name="_Toc254775518"/>
      <w:bookmarkStart w:id="396" w:name="_Toc520715125"/>
      <w:bookmarkStart w:id="397" w:name="_Toc461980462"/>
      <w:bookmarkStart w:id="398" w:name="_Toc273290689"/>
      <w:bookmarkStart w:id="399" w:name="_Toc31569"/>
      <w:bookmarkStart w:id="400" w:name="_Toc271290664"/>
      <w:r>
        <w:rPr>
          <w:rFonts w:hint="eastAsia"/>
          <w:szCs w:val="24"/>
          <w:highlight w:val="none"/>
        </w:rPr>
        <w:t>25、承包人代表</w:t>
      </w:r>
      <w:bookmarkEnd w:id="395"/>
      <w:bookmarkEnd w:id="396"/>
      <w:bookmarkEnd w:id="397"/>
      <w:bookmarkEnd w:id="398"/>
      <w:bookmarkEnd w:id="399"/>
      <w:bookmarkEnd w:id="400"/>
    </w:p>
    <w:p w14:paraId="78B23E59">
      <w:pPr>
        <w:rPr>
          <w:rFonts w:ascii="宋体" w:hAnsi="宋体"/>
          <w:szCs w:val="21"/>
          <w:highlight w:val="none"/>
        </w:rPr>
      </w:pPr>
      <w:bookmarkStart w:id="401" w:name="_Toc4939"/>
      <w:bookmarkStart w:id="402" w:name="_Toc44235709"/>
      <w:bookmarkStart w:id="403" w:name="_Toc520715126"/>
      <w:bookmarkStart w:id="404" w:name="_Toc273290690"/>
      <w:bookmarkStart w:id="405" w:name="_Toc263775818"/>
      <w:bookmarkStart w:id="406" w:name="_Toc271290665"/>
      <w:bookmarkStart w:id="407" w:name="_Toc334014623"/>
      <w:bookmarkStart w:id="408" w:name="_Toc461980463"/>
      <w:r>
        <w:rPr>
          <w:rFonts w:hint="eastAsia" w:ascii="宋体" w:hAnsi="宋体"/>
          <w:szCs w:val="21"/>
          <w:highlight w:val="none"/>
        </w:rPr>
        <w:t>25.1  承包人任命（</w:t>
      </w:r>
      <w:r>
        <w:rPr>
          <w:rFonts w:hint="eastAsia" w:ascii="宋体" w:hAnsi="宋体"/>
          <w:b/>
          <w:kern w:val="0"/>
          <w:szCs w:val="21"/>
          <w:highlight w:val="none"/>
        </w:rPr>
        <w:t xml:space="preserve">姓名：        专业：       资质等级：      资质证号：  </w:t>
      </w:r>
      <w:r>
        <w:rPr>
          <w:rFonts w:hint="eastAsia" w:ascii="宋体" w:hAnsi="宋体"/>
          <w:kern w:val="0"/>
          <w:szCs w:val="21"/>
          <w:highlight w:val="none"/>
        </w:rPr>
        <w:t xml:space="preserve">        </w:t>
      </w:r>
      <w:r>
        <w:rPr>
          <w:rFonts w:hint="eastAsia" w:ascii="宋体" w:hAnsi="宋体"/>
          <w:szCs w:val="21"/>
          <w:highlight w:val="none"/>
        </w:rPr>
        <w:t>）为承包人代表，其通讯联络地址如下：</w:t>
      </w:r>
      <w:bookmarkEnd w:id="401"/>
      <w:bookmarkEnd w:id="402"/>
      <w:bookmarkEnd w:id="403"/>
      <w:bookmarkEnd w:id="404"/>
      <w:bookmarkEnd w:id="405"/>
      <w:bookmarkEnd w:id="406"/>
      <w:bookmarkEnd w:id="407"/>
      <w:bookmarkEnd w:id="408"/>
    </w:p>
    <w:p w14:paraId="653EE034">
      <w:pPr>
        <w:spacing w:line="360" w:lineRule="auto"/>
        <w:ind w:firstLine="420" w:firstLineChars="200"/>
        <w:rPr>
          <w:rFonts w:ascii="宋体" w:hAnsi="宋体"/>
          <w:szCs w:val="21"/>
          <w:highlight w:val="none"/>
        </w:rPr>
      </w:pPr>
      <w:r>
        <w:rPr>
          <w:rFonts w:hint="eastAsia" w:ascii="宋体" w:hAnsi="宋体"/>
          <w:szCs w:val="21"/>
          <w:highlight w:val="none"/>
        </w:rPr>
        <w:t xml:space="preserve">     通讯地址：                                邮政编码：</w:t>
      </w:r>
    </w:p>
    <w:p w14:paraId="3448A3CF">
      <w:pPr>
        <w:spacing w:line="360" w:lineRule="auto"/>
        <w:ind w:firstLine="945" w:firstLineChars="450"/>
        <w:rPr>
          <w:rFonts w:ascii="宋体" w:hAnsi="宋体"/>
          <w:szCs w:val="21"/>
          <w:highlight w:val="none"/>
        </w:rPr>
      </w:pPr>
      <w:r>
        <w:rPr>
          <w:rFonts w:hint="eastAsia" w:ascii="宋体" w:hAnsi="宋体"/>
          <w:szCs w:val="21"/>
          <w:highlight w:val="none"/>
        </w:rPr>
        <w:t>联系电话：</w:t>
      </w:r>
      <w:r>
        <w:rPr>
          <w:rFonts w:ascii="宋体" w:hAnsi="宋体"/>
          <w:szCs w:val="21"/>
          <w:highlight w:val="none"/>
        </w:rPr>
        <w:t xml:space="preserve"> </w:t>
      </w:r>
      <w:r>
        <w:rPr>
          <w:rFonts w:hint="eastAsia" w:ascii="宋体" w:hAnsi="宋体"/>
          <w:szCs w:val="21"/>
          <w:highlight w:val="none"/>
        </w:rPr>
        <w:t xml:space="preserve">                               传真号码：</w:t>
      </w:r>
    </w:p>
    <w:p w14:paraId="5CC14631">
      <w:pPr>
        <w:pStyle w:val="6"/>
        <w:rPr>
          <w:szCs w:val="24"/>
          <w:highlight w:val="none"/>
        </w:rPr>
      </w:pPr>
      <w:bookmarkStart w:id="409" w:name="_Toc520715127"/>
      <w:bookmarkStart w:id="410" w:name="_Toc271290666"/>
      <w:bookmarkStart w:id="411" w:name="_Toc273290691"/>
      <w:bookmarkStart w:id="412" w:name="_Toc461980464"/>
      <w:bookmarkStart w:id="413" w:name="_Toc254775519"/>
      <w:bookmarkStart w:id="414" w:name="_Toc13734"/>
      <w:r>
        <w:rPr>
          <w:rFonts w:hint="eastAsia"/>
          <w:szCs w:val="24"/>
          <w:highlight w:val="none"/>
        </w:rPr>
        <w:t>26、指定分包人</w:t>
      </w:r>
      <w:bookmarkEnd w:id="409"/>
      <w:bookmarkEnd w:id="410"/>
      <w:bookmarkEnd w:id="411"/>
      <w:bookmarkEnd w:id="412"/>
      <w:bookmarkEnd w:id="413"/>
      <w:bookmarkEnd w:id="414"/>
    </w:p>
    <w:p w14:paraId="460FD5E2">
      <w:pPr>
        <w:rPr>
          <w:rFonts w:ascii="宋体" w:hAnsi="宋体"/>
          <w:szCs w:val="21"/>
          <w:highlight w:val="none"/>
        </w:rPr>
      </w:pPr>
      <w:bookmarkStart w:id="415" w:name="_Toc334014625"/>
      <w:bookmarkStart w:id="416" w:name="_Toc271290667"/>
      <w:bookmarkStart w:id="417" w:name="_Toc520715128"/>
      <w:bookmarkStart w:id="418" w:name="_Toc461980465"/>
      <w:bookmarkStart w:id="419" w:name="_Toc30957"/>
      <w:bookmarkStart w:id="420" w:name="_Toc44235710"/>
      <w:bookmarkStart w:id="421" w:name="_Toc273290692"/>
      <w:r>
        <w:rPr>
          <w:rFonts w:hint="eastAsia" w:ascii="宋体" w:hAnsi="宋体"/>
          <w:szCs w:val="21"/>
          <w:highlight w:val="none"/>
        </w:rPr>
        <w:t>26.1  依法指定的分包人及其有关规定：</w:t>
      </w:r>
      <w:bookmarkEnd w:id="415"/>
      <w:bookmarkEnd w:id="416"/>
      <w:bookmarkEnd w:id="417"/>
      <w:bookmarkEnd w:id="418"/>
      <w:bookmarkEnd w:id="419"/>
      <w:bookmarkEnd w:id="420"/>
      <w:bookmarkEnd w:id="421"/>
    </w:p>
    <w:p w14:paraId="2A61CF17">
      <w:pPr>
        <w:spacing w:line="360" w:lineRule="auto"/>
        <w:ind w:firstLine="420" w:firstLineChars="200"/>
        <w:rPr>
          <w:rFonts w:ascii="宋体" w:hAnsi="宋体"/>
          <w:szCs w:val="21"/>
          <w:highlight w:val="none"/>
        </w:rPr>
      </w:pPr>
      <w:r>
        <w:rPr>
          <w:rFonts w:hint="eastAsia" w:ascii="宋体" w:hAnsi="宋体"/>
          <w:szCs w:val="21"/>
          <w:highlight w:val="none"/>
        </w:rPr>
        <w:t xml:space="preserve">    （1）实施、完成任何永久工程的分包人：无。</w:t>
      </w:r>
    </w:p>
    <w:p w14:paraId="7EB9EF47">
      <w:pPr>
        <w:spacing w:line="360" w:lineRule="auto"/>
        <w:ind w:firstLine="420" w:firstLineChars="200"/>
        <w:rPr>
          <w:rFonts w:ascii="宋体" w:hAnsi="宋体"/>
          <w:szCs w:val="21"/>
          <w:highlight w:val="none"/>
        </w:rPr>
      </w:pPr>
      <w:r>
        <w:rPr>
          <w:rFonts w:hint="eastAsia" w:ascii="宋体" w:hAnsi="宋体"/>
          <w:szCs w:val="21"/>
          <w:highlight w:val="none"/>
        </w:rPr>
        <w:t xml:space="preserve">    （2）提供本合同工程材料和工程设备、服务的分包人：无。</w:t>
      </w:r>
    </w:p>
    <w:p w14:paraId="344CBC32">
      <w:pPr>
        <w:rPr>
          <w:rFonts w:ascii="宋体" w:hAnsi="宋体"/>
          <w:szCs w:val="21"/>
          <w:highlight w:val="none"/>
        </w:rPr>
      </w:pPr>
      <w:bookmarkStart w:id="422" w:name="_Toc334014626"/>
      <w:bookmarkStart w:id="423" w:name="_Toc44235711"/>
      <w:bookmarkStart w:id="424" w:name="_Toc461980466"/>
      <w:bookmarkStart w:id="425" w:name="_Toc263775820"/>
      <w:bookmarkStart w:id="426" w:name="_Toc520715129"/>
      <w:bookmarkStart w:id="427" w:name="_Toc13445"/>
      <w:bookmarkStart w:id="428" w:name="_Toc271290668"/>
      <w:bookmarkStart w:id="429" w:name="_Toc273290693"/>
      <w:r>
        <w:rPr>
          <w:rFonts w:hint="eastAsia" w:ascii="宋体" w:hAnsi="宋体"/>
          <w:szCs w:val="21"/>
          <w:highlight w:val="none"/>
        </w:rPr>
        <w:t>26.3 发包人向承包人支付指定分包人的分包工程配合费的约定：无。</w:t>
      </w:r>
      <w:bookmarkEnd w:id="422"/>
      <w:bookmarkEnd w:id="423"/>
      <w:bookmarkEnd w:id="424"/>
      <w:bookmarkEnd w:id="425"/>
      <w:bookmarkEnd w:id="426"/>
      <w:bookmarkEnd w:id="427"/>
      <w:bookmarkEnd w:id="428"/>
      <w:bookmarkEnd w:id="429"/>
    </w:p>
    <w:p w14:paraId="595D6621">
      <w:pPr>
        <w:pStyle w:val="6"/>
        <w:rPr>
          <w:szCs w:val="24"/>
          <w:highlight w:val="none"/>
        </w:rPr>
      </w:pPr>
      <w:bookmarkStart w:id="430" w:name="_Toc520715130"/>
      <w:bookmarkStart w:id="431" w:name="_Toc461980467"/>
      <w:bookmarkStart w:id="432" w:name="_Toc9253"/>
      <w:bookmarkStart w:id="433" w:name="_Toc273290694"/>
      <w:bookmarkStart w:id="434" w:name="_Toc271290669"/>
      <w:r>
        <w:rPr>
          <w:rFonts w:hint="eastAsia"/>
          <w:szCs w:val="24"/>
          <w:highlight w:val="none"/>
        </w:rPr>
        <w:t>27</w:t>
      </w:r>
      <w:bookmarkStart w:id="435" w:name="_Toc254775520"/>
      <w:r>
        <w:rPr>
          <w:rFonts w:hint="eastAsia"/>
          <w:szCs w:val="24"/>
          <w:highlight w:val="none"/>
        </w:rPr>
        <w:t>、承包人劳务</w:t>
      </w:r>
      <w:bookmarkEnd w:id="430"/>
      <w:bookmarkEnd w:id="431"/>
      <w:bookmarkEnd w:id="432"/>
      <w:bookmarkEnd w:id="433"/>
      <w:bookmarkEnd w:id="434"/>
      <w:bookmarkEnd w:id="435"/>
    </w:p>
    <w:p w14:paraId="4260DEDA">
      <w:pPr>
        <w:rPr>
          <w:rFonts w:ascii="宋体" w:hAnsi="宋体"/>
          <w:szCs w:val="21"/>
          <w:highlight w:val="none"/>
        </w:rPr>
      </w:pPr>
      <w:bookmarkStart w:id="436" w:name="_Toc334014628"/>
      <w:bookmarkStart w:id="437" w:name="_Toc44235712"/>
      <w:bookmarkStart w:id="438" w:name="_Toc461980468"/>
      <w:bookmarkStart w:id="439" w:name="_Toc5627"/>
      <w:bookmarkStart w:id="440" w:name="_Toc271290670"/>
      <w:bookmarkStart w:id="441" w:name="_Toc520715131"/>
      <w:bookmarkStart w:id="442" w:name="_Toc273290695"/>
      <w:r>
        <w:rPr>
          <w:rFonts w:hint="eastAsia" w:ascii="宋体" w:hAnsi="宋体"/>
          <w:szCs w:val="21"/>
          <w:highlight w:val="none"/>
        </w:rPr>
        <w:t>27.2 承包人人员的雇佣</w:t>
      </w:r>
      <w:bookmarkEnd w:id="436"/>
      <w:bookmarkEnd w:id="437"/>
      <w:bookmarkEnd w:id="438"/>
      <w:bookmarkEnd w:id="439"/>
      <w:bookmarkEnd w:id="440"/>
      <w:bookmarkEnd w:id="441"/>
      <w:bookmarkEnd w:id="442"/>
      <w:r>
        <w:rPr>
          <w:rFonts w:hint="eastAsia" w:ascii="宋体" w:hAnsi="宋体"/>
          <w:szCs w:val="21"/>
          <w:highlight w:val="none"/>
        </w:rPr>
        <w:t xml:space="preserve"> </w:t>
      </w:r>
    </w:p>
    <w:p w14:paraId="41E28FC7">
      <w:pPr>
        <w:spacing w:line="360" w:lineRule="auto"/>
        <w:ind w:firstLine="420" w:firstLineChars="200"/>
        <w:rPr>
          <w:rFonts w:ascii="宋体" w:hAnsi="宋体"/>
          <w:szCs w:val="21"/>
          <w:highlight w:val="none"/>
        </w:rPr>
      </w:pPr>
      <w:r>
        <w:rPr>
          <w:rFonts w:hint="eastAsia" w:ascii="宋体" w:hAnsi="宋体"/>
          <w:szCs w:val="21"/>
          <w:highlight w:val="none"/>
        </w:rPr>
        <w:t xml:space="preserve">本款更改为： </w:t>
      </w:r>
    </w:p>
    <w:p w14:paraId="14B3AC1D">
      <w:pPr>
        <w:spacing w:line="360" w:lineRule="auto"/>
        <w:ind w:firstLine="420" w:firstLineChars="200"/>
        <w:rPr>
          <w:rFonts w:ascii="宋体" w:hAnsi="宋体"/>
          <w:szCs w:val="21"/>
          <w:highlight w:val="none"/>
        </w:rPr>
      </w:pPr>
      <w:r>
        <w:rPr>
          <w:rFonts w:hint="eastAsia" w:ascii="宋体" w:hAnsi="宋体"/>
          <w:szCs w:val="21"/>
          <w:highlight w:val="none"/>
        </w:rPr>
        <w:t xml:space="preserve">承包人应雇佣投标文件中指明的人员，也可以雇佣经监理工程师批准的其他人员，但不得从发包人或服务于发包人的人员中雇佣人员。 </w:t>
      </w:r>
    </w:p>
    <w:p w14:paraId="48F5FF74">
      <w:pPr>
        <w:spacing w:line="360" w:lineRule="auto"/>
        <w:ind w:firstLine="420" w:firstLineChars="200"/>
        <w:rPr>
          <w:rFonts w:ascii="宋体" w:hAnsi="宋体"/>
          <w:szCs w:val="21"/>
          <w:highlight w:val="none"/>
        </w:rPr>
      </w:pPr>
      <w:r>
        <w:rPr>
          <w:rFonts w:hint="eastAsia" w:ascii="宋体" w:hAnsi="宋体"/>
          <w:szCs w:val="21"/>
          <w:highlight w:val="none"/>
        </w:rPr>
        <w:t xml:space="preserve">27.7 承包人雇员安排和撤换 </w:t>
      </w:r>
    </w:p>
    <w:p w14:paraId="467E5937">
      <w:pPr>
        <w:spacing w:line="360" w:lineRule="auto"/>
        <w:ind w:firstLine="420" w:firstLineChars="200"/>
        <w:rPr>
          <w:rFonts w:ascii="宋体" w:hAnsi="宋体"/>
          <w:szCs w:val="21"/>
          <w:highlight w:val="none"/>
        </w:rPr>
      </w:pPr>
      <w:r>
        <w:rPr>
          <w:rFonts w:hint="eastAsia" w:ascii="宋体" w:hAnsi="宋体"/>
          <w:szCs w:val="21"/>
          <w:highlight w:val="none"/>
        </w:rPr>
        <w:t xml:space="preserve">本款文末增加： </w:t>
      </w:r>
    </w:p>
    <w:p w14:paraId="548497DA">
      <w:pPr>
        <w:spacing w:line="360" w:lineRule="auto"/>
        <w:ind w:firstLine="420" w:firstLineChars="200"/>
        <w:rPr>
          <w:rFonts w:ascii="宋体" w:hAnsi="宋体"/>
          <w:szCs w:val="21"/>
          <w:highlight w:val="none"/>
        </w:rPr>
      </w:pPr>
      <w:r>
        <w:rPr>
          <w:rFonts w:hint="eastAsia" w:ascii="宋体" w:hAnsi="宋体"/>
          <w:szCs w:val="21"/>
          <w:highlight w:val="none"/>
        </w:rPr>
        <w:t>承包人更换主要技术人员须报发包人审批，替换人员的专业要相符，等级应不低于被替换人员。本工程建造师、项目副经理及总工程师不得同时担任其它工程的工作。否则将视为违约，发包人有权按有关规定，报主管部门予以处罚，并保留终止合同的权利。</w:t>
      </w:r>
    </w:p>
    <w:p w14:paraId="3FB742B5">
      <w:pPr>
        <w:pStyle w:val="6"/>
        <w:rPr>
          <w:szCs w:val="24"/>
          <w:highlight w:val="none"/>
        </w:rPr>
      </w:pPr>
      <w:bookmarkStart w:id="443" w:name="_Toc18058"/>
      <w:bookmarkStart w:id="444" w:name="_Toc461980469"/>
      <w:bookmarkStart w:id="445" w:name="_Toc271290671"/>
      <w:bookmarkStart w:id="446" w:name="_Toc520715132"/>
      <w:bookmarkStart w:id="447" w:name="_Toc254775521"/>
      <w:bookmarkStart w:id="448" w:name="_Toc273290696"/>
      <w:r>
        <w:rPr>
          <w:rFonts w:hint="eastAsia"/>
          <w:szCs w:val="24"/>
          <w:highlight w:val="none"/>
        </w:rPr>
        <w:t>28、工程担保</w:t>
      </w:r>
      <w:bookmarkEnd w:id="443"/>
      <w:bookmarkEnd w:id="444"/>
      <w:bookmarkEnd w:id="445"/>
      <w:bookmarkEnd w:id="446"/>
      <w:bookmarkEnd w:id="447"/>
      <w:bookmarkEnd w:id="448"/>
    </w:p>
    <w:p w14:paraId="0C4FA9E2">
      <w:pPr>
        <w:spacing w:line="360" w:lineRule="auto"/>
        <w:ind w:firstLine="420" w:firstLineChars="200"/>
        <w:rPr>
          <w:rFonts w:ascii="宋体" w:hAnsi="宋体"/>
          <w:kern w:val="0"/>
          <w:szCs w:val="21"/>
          <w:highlight w:val="none"/>
        </w:rPr>
      </w:pPr>
      <w:bookmarkStart w:id="449" w:name="_Toc291700243"/>
      <w:bookmarkStart w:id="450" w:name="_Toc289852379"/>
      <w:bookmarkStart w:id="451" w:name="_Toc362014721"/>
      <w:bookmarkStart w:id="452" w:name="_Toc362014502"/>
      <w:r>
        <w:rPr>
          <w:rFonts w:hint="eastAsia" w:ascii="宋体" w:hAnsi="宋体"/>
          <w:kern w:val="0"/>
          <w:szCs w:val="21"/>
          <w:highlight w:val="none"/>
        </w:rPr>
        <w:t>28.1  承包人提供履约担保的约定</w:t>
      </w:r>
      <w:bookmarkEnd w:id="449"/>
      <w:bookmarkEnd w:id="450"/>
      <w:bookmarkEnd w:id="451"/>
      <w:bookmarkEnd w:id="452"/>
    </w:p>
    <w:p w14:paraId="75A34203">
      <w:pPr>
        <w:spacing w:line="360" w:lineRule="auto"/>
        <w:ind w:firstLine="420" w:firstLineChars="200"/>
        <w:rPr>
          <w:rFonts w:ascii="宋体" w:hAnsi="宋体"/>
          <w:szCs w:val="21"/>
          <w:highlight w:val="none"/>
        </w:rPr>
      </w:pPr>
      <w:r>
        <w:rPr>
          <w:rFonts w:hint="eastAsia" w:ascii="宋体" w:hAnsi="宋体"/>
          <w:szCs w:val="21"/>
          <w:highlight w:val="none"/>
        </w:rPr>
        <w:t>（1）履约担保的金额：（大写）</w:t>
      </w:r>
      <w:r>
        <w:rPr>
          <w:rFonts w:hint="eastAsia" w:ascii="宋体" w:hAnsi="宋体"/>
          <w:szCs w:val="21"/>
          <w:highlight w:val="none"/>
          <w:u w:val="single"/>
        </w:rPr>
        <w:t xml:space="preserve">                      </w:t>
      </w:r>
      <w:r>
        <w:rPr>
          <w:rFonts w:hint="eastAsia" w:ascii="宋体" w:hAnsi="宋体"/>
          <w:szCs w:val="21"/>
          <w:highlight w:val="none"/>
        </w:rPr>
        <w:t>（小写</w:t>
      </w:r>
      <w:r>
        <w:rPr>
          <w:rFonts w:hint="eastAsia" w:ascii="宋体" w:hAnsi="宋体"/>
          <w:szCs w:val="21"/>
          <w:highlight w:val="none"/>
          <w:u w:val="single"/>
        </w:rPr>
        <w:t xml:space="preserve">                      </w:t>
      </w:r>
      <w:r>
        <w:rPr>
          <w:rFonts w:hint="eastAsia" w:ascii="宋体" w:hAnsi="宋体"/>
          <w:szCs w:val="21"/>
          <w:highlight w:val="none"/>
        </w:rPr>
        <w:t xml:space="preserve">） </w:t>
      </w:r>
    </w:p>
    <w:p w14:paraId="4B17F748">
      <w:pPr>
        <w:spacing w:line="360" w:lineRule="auto"/>
        <w:ind w:firstLine="420" w:firstLineChars="200"/>
        <w:rPr>
          <w:rFonts w:ascii="宋体" w:hAnsi="宋体"/>
          <w:szCs w:val="21"/>
          <w:highlight w:val="none"/>
        </w:rPr>
      </w:pPr>
      <w:r>
        <w:rPr>
          <w:rFonts w:hint="eastAsia" w:ascii="宋体" w:hAnsi="宋体"/>
          <w:szCs w:val="21"/>
          <w:highlight w:val="none"/>
        </w:rPr>
        <w:t>（2）提供履约担保的时间：</w:t>
      </w:r>
    </w:p>
    <w:p w14:paraId="435C87EA">
      <w:pPr>
        <w:spacing w:line="360" w:lineRule="auto"/>
        <w:ind w:firstLine="420" w:firstLineChars="200"/>
        <w:rPr>
          <w:rFonts w:ascii="宋体" w:hAnsi="宋体"/>
          <w:szCs w:val="21"/>
          <w:highlight w:val="none"/>
        </w:rPr>
      </w:pPr>
      <w:r>
        <w:rPr>
          <w:rFonts w:hint="eastAsia" w:ascii="宋体" w:hAnsi="宋体"/>
          <w:szCs w:val="21"/>
          <w:highlight w:val="none"/>
        </w:rPr>
        <w:t xml:space="preserve">□ 签订本合同时。 </w:t>
      </w:r>
    </w:p>
    <w:p w14:paraId="42AE4F75">
      <w:pPr>
        <w:spacing w:line="360" w:lineRule="auto"/>
        <w:ind w:firstLine="420" w:firstLineChars="200"/>
        <w:rPr>
          <w:rFonts w:ascii="宋体" w:hAnsi="宋体"/>
          <w:szCs w:val="21"/>
          <w:highlight w:val="none"/>
        </w:rPr>
      </w:pPr>
      <w:r>
        <w:rPr>
          <w:rFonts w:hint="eastAsia" w:ascii="宋体" w:hAnsi="宋体"/>
          <w:szCs w:val="21"/>
          <w:highlight w:val="none"/>
        </w:rPr>
        <w:t>■ 其他时间：合同协议书签署前。</w:t>
      </w:r>
    </w:p>
    <w:p w14:paraId="414D77F2">
      <w:pPr>
        <w:spacing w:line="360" w:lineRule="auto"/>
        <w:ind w:firstLine="420" w:firstLineChars="200"/>
        <w:rPr>
          <w:rFonts w:ascii="宋体" w:hAnsi="宋体" w:cs="宋体"/>
          <w:kern w:val="0"/>
          <w:szCs w:val="21"/>
          <w:highlight w:val="none"/>
        </w:rPr>
      </w:pPr>
      <w:r>
        <w:rPr>
          <w:rFonts w:hint="eastAsia" w:ascii="宋体" w:hAnsi="宋体"/>
          <w:szCs w:val="21"/>
          <w:highlight w:val="none"/>
        </w:rPr>
        <w:t>（3）</w:t>
      </w:r>
      <w:r>
        <w:rPr>
          <w:rFonts w:ascii="宋体" w:hAnsi="宋体" w:cs="宋体"/>
          <w:kern w:val="0"/>
          <w:szCs w:val="21"/>
          <w:highlight w:val="none"/>
        </w:rPr>
        <w:t>出具履约担保的银行</w:t>
      </w:r>
      <w:r>
        <w:rPr>
          <w:rFonts w:hint="eastAsia" w:ascii="宋体" w:hAnsi="宋体" w:cs="宋体"/>
          <w:kern w:val="0"/>
          <w:szCs w:val="21"/>
          <w:highlight w:val="none"/>
        </w:rPr>
        <w:t>或金融机构</w:t>
      </w:r>
      <w:r>
        <w:rPr>
          <w:rFonts w:ascii="宋体" w:hAnsi="宋体" w:cs="宋体"/>
          <w:kern w:val="0"/>
          <w:szCs w:val="21"/>
          <w:highlight w:val="none"/>
        </w:rPr>
        <w:t>：</w:t>
      </w:r>
    </w:p>
    <w:p w14:paraId="0A527055">
      <w:pPr>
        <w:spacing w:line="360" w:lineRule="auto"/>
        <w:ind w:firstLine="420" w:firstLineChars="200"/>
        <w:rPr>
          <w:rFonts w:ascii="宋体" w:hAnsi="宋体" w:cs="宋体"/>
          <w:kern w:val="0"/>
          <w:szCs w:val="21"/>
          <w:highlight w:val="none"/>
        </w:rPr>
      </w:pPr>
      <w:bookmarkStart w:id="453" w:name="_Toc291700244"/>
      <w:bookmarkStart w:id="454" w:name="_Toc362014503"/>
      <w:bookmarkStart w:id="455" w:name="_Toc362014722"/>
      <w:bookmarkStart w:id="456" w:name="_Toc289852380"/>
      <w:r>
        <w:rPr>
          <w:rFonts w:hint="eastAsia" w:ascii="宋体" w:hAnsi="宋体" w:cs="宋体"/>
          <w:kern w:val="0"/>
          <w:szCs w:val="21"/>
          <w:highlight w:val="none"/>
        </w:rPr>
        <w:t>28.2  履约担保期限和退还时间的约定</w:t>
      </w:r>
      <w:bookmarkEnd w:id="453"/>
      <w:bookmarkEnd w:id="454"/>
      <w:bookmarkEnd w:id="455"/>
      <w:bookmarkEnd w:id="456"/>
      <w:r>
        <w:rPr>
          <w:rFonts w:hint="eastAsia" w:ascii="宋体" w:hAnsi="宋体" w:cs="宋体"/>
          <w:kern w:val="0"/>
          <w:szCs w:val="21"/>
          <w:highlight w:val="none"/>
        </w:rPr>
        <w:t>：</w:t>
      </w:r>
      <w:r>
        <w:rPr>
          <w:rFonts w:hint="eastAsia" w:ascii="宋体" w:hAnsi="宋体" w:cs="宋体"/>
          <w:b/>
          <w:kern w:val="0"/>
          <w:szCs w:val="21"/>
          <w:highlight w:val="none"/>
        </w:rPr>
        <w:t>履约担保的有效期自本合同生效之日起至工程竣工验收合格之日后30天内保持有效。发包人应在担保有效期满后的14 天内将此担保退还给承包人。如果承包人提交的履约保函的有效期届满时间先于招标文件、合同文件要求的，承包人应在原提交的履约保函有效期届满前15天内，必须办理保函延期手续，否则视为承包人违约，发包人可在保函到期前将保函金额转为现金存入履约保证金帐户。如担保银行的履约保函在规定有效日期内而工程仍未竣工验收及结算的，必须在到期前10天办妥延期手续。否则，发包人向出具履约担保的银行提取履约保证金。</w:t>
      </w:r>
    </w:p>
    <w:p w14:paraId="7E197408">
      <w:pPr>
        <w:spacing w:line="360" w:lineRule="auto"/>
        <w:ind w:firstLine="420" w:firstLineChars="200"/>
        <w:rPr>
          <w:rFonts w:ascii="宋体" w:hAnsi="宋体"/>
          <w:highlight w:val="none"/>
        </w:rPr>
      </w:pPr>
      <w:r>
        <w:rPr>
          <w:rFonts w:hint="eastAsia" w:ascii="宋体" w:hAnsi="宋体" w:cs="宋体"/>
          <w:kern w:val="0"/>
          <w:szCs w:val="21"/>
          <w:highlight w:val="none"/>
        </w:rPr>
        <w:t>28.8  担保内容、方式和责任等事项的约定：</w:t>
      </w:r>
      <w:r>
        <w:rPr>
          <w:rFonts w:hint="eastAsia" w:ascii="宋体" w:hAnsi="宋体" w:cs="宋体"/>
          <w:b/>
          <w:kern w:val="0"/>
          <w:szCs w:val="21"/>
          <w:highlight w:val="none"/>
        </w:rPr>
        <w:t>无。</w:t>
      </w:r>
    </w:p>
    <w:p w14:paraId="01BC0A67">
      <w:pPr>
        <w:pStyle w:val="6"/>
        <w:rPr>
          <w:szCs w:val="24"/>
          <w:highlight w:val="none"/>
        </w:rPr>
      </w:pPr>
      <w:bookmarkStart w:id="457" w:name="_Toc18817"/>
      <w:bookmarkStart w:id="458" w:name="_Toc520715134"/>
      <w:bookmarkStart w:id="459" w:name="_Toc271290676"/>
      <w:bookmarkStart w:id="460" w:name="_Toc254775522"/>
      <w:bookmarkStart w:id="461" w:name="_Toc273290701"/>
      <w:bookmarkStart w:id="462" w:name="_Toc461980471"/>
      <w:r>
        <w:rPr>
          <w:rFonts w:hint="eastAsia"/>
          <w:szCs w:val="24"/>
          <w:highlight w:val="none"/>
        </w:rPr>
        <w:t>31、不可抗力</w:t>
      </w:r>
      <w:bookmarkEnd w:id="457"/>
      <w:bookmarkEnd w:id="458"/>
      <w:bookmarkEnd w:id="459"/>
      <w:bookmarkEnd w:id="460"/>
      <w:bookmarkEnd w:id="461"/>
      <w:bookmarkEnd w:id="462"/>
    </w:p>
    <w:p w14:paraId="1267432E">
      <w:pPr>
        <w:rPr>
          <w:rFonts w:ascii="宋体" w:hAnsi="宋体"/>
          <w:szCs w:val="21"/>
          <w:highlight w:val="none"/>
        </w:rPr>
      </w:pPr>
      <w:bookmarkStart w:id="463" w:name="_Toc520715135"/>
      <w:bookmarkStart w:id="464" w:name="_Toc273290702"/>
      <w:bookmarkStart w:id="465" w:name="_Toc263775827"/>
      <w:bookmarkStart w:id="466" w:name="_Toc461980472"/>
      <w:bookmarkStart w:id="467" w:name="_Toc4105"/>
      <w:bookmarkStart w:id="468" w:name="_Toc271290677"/>
      <w:bookmarkStart w:id="469" w:name="_Toc334014635"/>
      <w:bookmarkStart w:id="470" w:name="_Toc44235713"/>
      <w:r>
        <w:rPr>
          <w:rFonts w:hint="eastAsia" w:ascii="宋体" w:hAnsi="宋体"/>
          <w:szCs w:val="21"/>
          <w:highlight w:val="none"/>
        </w:rPr>
        <w:t>31.1（4）  不可抗力的其他情形：</w:t>
      </w:r>
      <w:bookmarkEnd w:id="463"/>
      <w:bookmarkEnd w:id="464"/>
      <w:bookmarkEnd w:id="465"/>
      <w:bookmarkEnd w:id="466"/>
      <w:bookmarkEnd w:id="467"/>
      <w:bookmarkEnd w:id="468"/>
      <w:bookmarkEnd w:id="469"/>
      <w:bookmarkEnd w:id="470"/>
    </w:p>
    <w:p w14:paraId="20411966">
      <w:pPr>
        <w:spacing w:line="360" w:lineRule="auto"/>
        <w:ind w:right="-92" w:rightChars="-44" w:firstLine="420" w:firstLineChars="200"/>
        <w:rPr>
          <w:rFonts w:ascii="宋体" w:hAnsi="宋体"/>
          <w:szCs w:val="21"/>
          <w:highlight w:val="none"/>
        </w:rPr>
      </w:pPr>
      <w:r>
        <w:rPr>
          <w:rFonts w:hint="eastAsia" w:ascii="宋体" w:hAnsi="宋体"/>
          <w:szCs w:val="21"/>
          <w:highlight w:val="none"/>
        </w:rPr>
        <w:t>①</w:t>
      </w:r>
      <w:r>
        <w:rPr>
          <w:rFonts w:hint="eastAsia" w:ascii="宋体" w:hAnsi="宋体"/>
          <w:szCs w:val="21"/>
          <w:highlight w:val="none"/>
          <w:u w:val="single"/>
        </w:rPr>
        <w:t>　　6　　</w:t>
      </w:r>
      <w:r>
        <w:rPr>
          <w:rFonts w:hint="eastAsia" w:ascii="宋体" w:hAnsi="宋体"/>
          <w:szCs w:val="21"/>
          <w:highlight w:val="none"/>
        </w:rPr>
        <w:t>级以上的地震；</w:t>
      </w:r>
    </w:p>
    <w:p w14:paraId="0BFB4172">
      <w:pPr>
        <w:spacing w:line="360" w:lineRule="auto"/>
        <w:ind w:right="-92" w:rightChars="-44" w:firstLine="420" w:firstLineChars="200"/>
        <w:rPr>
          <w:rFonts w:ascii="宋体" w:hAnsi="宋体"/>
          <w:szCs w:val="21"/>
          <w:highlight w:val="none"/>
        </w:rPr>
      </w:pPr>
      <w:r>
        <w:rPr>
          <w:rFonts w:hint="eastAsia" w:ascii="宋体" w:hAnsi="宋体"/>
          <w:szCs w:val="21"/>
          <w:highlight w:val="none"/>
        </w:rPr>
        <w:t>②</w:t>
      </w:r>
      <w:r>
        <w:rPr>
          <w:rFonts w:hint="eastAsia" w:ascii="宋体" w:hAnsi="宋体"/>
          <w:szCs w:val="21"/>
          <w:highlight w:val="none"/>
          <w:u w:val="single"/>
        </w:rPr>
        <w:t xml:space="preserve">    8    </w:t>
      </w:r>
      <w:r>
        <w:rPr>
          <w:rFonts w:hint="eastAsia" w:ascii="宋体" w:hAnsi="宋体"/>
          <w:szCs w:val="21"/>
          <w:highlight w:val="none"/>
        </w:rPr>
        <w:t>级以上的持续</w:t>
      </w:r>
      <w:r>
        <w:rPr>
          <w:rFonts w:hint="eastAsia" w:ascii="宋体" w:hAnsi="宋体"/>
          <w:szCs w:val="21"/>
          <w:highlight w:val="none"/>
          <w:u w:val="single"/>
        </w:rPr>
        <w:t>　2　</w:t>
      </w:r>
      <w:r>
        <w:rPr>
          <w:rFonts w:hint="eastAsia" w:ascii="宋体" w:hAnsi="宋体"/>
          <w:szCs w:val="21"/>
          <w:highlight w:val="none"/>
        </w:rPr>
        <w:t>天的台风；</w:t>
      </w:r>
    </w:p>
    <w:p w14:paraId="7C3199EC">
      <w:pPr>
        <w:spacing w:line="360" w:lineRule="auto"/>
        <w:ind w:right="-92" w:rightChars="-44" w:firstLine="420" w:firstLineChars="200"/>
        <w:rPr>
          <w:rFonts w:ascii="宋体" w:hAnsi="宋体"/>
          <w:szCs w:val="21"/>
          <w:highlight w:val="none"/>
        </w:rPr>
      </w:pPr>
      <w:r>
        <w:rPr>
          <w:rFonts w:hint="eastAsia" w:ascii="宋体" w:hAnsi="宋体"/>
          <w:szCs w:val="21"/>
          <w:highlight w:val="none"/>
        </w:rPr>
        <w:t>③</w:t>
      </w:r>
      <w:r>
        <w:rPr>
          <w:rFonts w:hint="eastAsia" w:ascii="宋体" w:hAnsi="宋体"/>
          <w:szCs w:val="21"/>
          <w:highlight w:val="none"/>
          <w:u w:val="single"/>
        </w:rPr>
        <w:t>　250　　</w:t>
      </w:r>
      <w:r>
        <w:rPr>
          <w:rFonts w:hint="eastAsia" w:ascii="宋体" w:hAnsi="宋体"/>
          <w:szCs w:val="21"/>
          <w:highlight w:val="none"/>
        </w:rPr>
        <w:t>mm以上的持续</w:t>
      </w:r>
      <w:r>
        <w:rPr>
          <w:rFonts w:hint="eastAsia" w:ascii="宋体" w:hAnsi="宋体"/>
          <w:szCs w:val="21"/>
          <w:highlight w:val="none"/>
          <w:u w:val="single"/>
        </w:rPr>
        <w:t>　24　</w:t>
      </w:r>
      <w:r>
        <w:rPr>
          <w:rFonts w:hint="eastAsia" w:ascii="宋体" w:hAnsi="宋体"/>
          <w:szCs w:val="21"/>
          <w:highlight w:val="none"/>
        </w:rPr>
        <w:t>小时的大雨、暴雨；</w:t>
      </w:r>
    </w:p>
    <w:p w14:paraId="6EF6E28E">
      <w:pPr>
        <w:spacing w:line="360" w:lineRule="auto"/>
        <w:ind w:right="-44" w:firstLine="420" w:firstLineChars="200"/>
        <w:rPr>
          <w:rFonts w:ascii="宋体" w:hAnsi="宋体"/>
          <w:szCs w:val="21"/>
          <w:highlight w:val="none"/>
        </w:rPr>
      </w:pPr>
      <w:r>
        <w:rPr>
          <w:rFonts w:hint="eastAsia" w:ascii="宋体" w:hAnsi="宋体"/>
          <w:szCs w:val="21"/>
          <w:highlight w:val="none"/>
        </w:rPr>
        <w:t>④</w:t>
      </w:r>
      <w:r>
        <w:rPr>
          <w:rFonts w:hint="eastAsia" w:ascii="宋体" w:hAnsi="宋体"/>
          <w:szCs w:val="21"/>
          <w:highlight w:val="none"/>
          <w:u w:val="single"/>
        </w:rPr>
        <w:t xml:space="preserve">   50    </w:t>
      </w:r>
      <w:r>
        <w:rPr>
          <w:rFonts w:hint="eastAsia" w:ascii="宋体" w:hAnsi="宋体"/>
          <w:szCs w:val="21"/>
          <w:highlight w:val="none"/>
        </w:rPr>
        <w:t>年以上未发生过、持续</w:t>
      </w:r>
      <w:r>
        <w:rPr>
          <w:rFonts w:hint="eastAsia" w:ascii="宋体" w:hAnsi="宋体"/>
          <w:szCs w:val="21"/>
          <w:highlight w:val="none"/>
          <w:u w:val="single"/>
        </w:rPr>
        <w:t>　2　</w:t>
      </w:r>
      <w:r>
        <w:rPr>
          <w:rFonts w:hint="eastAsia" w:ascii="宋体" w:hAnsi="宋体"/>
          <w:szCs w:val="21"/>
          <w:highlight w:val="none"/>
        </w:rPr>
        <w:t>天的高温天气；</w:t>
      </w:r>
    </w:p>
    <w:p w14:paraId="76C99F5C">
      <w:pPr>
        <w:pStyle w:val="6"/>
        <w:rPr>
          <w:szCs w:val="24"/>
          <w:highlight w:val="none"/>
        </w:rPr>
      </w:pPr>
      <w:bookmarkStart w:id="471" w:name="_Toc461980473"/>
      <w:bookmarkStart w:id="472" w:name="_Toc520715136"/>
      <w:bookmarkStart w:id="473" w:name="_Toc1339"/>
      <w:bookmarkStart w:id="474" w:name="_Toc273290703"/>
      <w:bookmarkStart w:id="475" w:name="_Toc254775523"/>
      <w:bookmarkStart w:id="476" w:name="_Toc271290678"/>
      <w:r>
        <w:rPr>
          <w:rFonts w:hint="eastAsia"/>
          <w:szCs w:val="24"/>
          <w:highlight w:val="none"/>
        </w:rPr>
        <w:t>32、保险</w:t>
      </w:r>
      <w:bookmarkEnd w:id="471"/>
      <w:bookmarkEnd w:id="472"/>
      <w:bookmarkEnd w:id="473"/>
      <w:bookmarkEnd w:id="474"/>
      <w:bookmarkEnd w:id="475"/>
      <w:bookmarkEnd w:id="476"/>
    </w:p>
    <w:p w14:paraId="2E1801A6">
      <w:pPr>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32.1  发包人委托承包人办理保险事项：无</w:t>
      </w:r>
    </w:p>
    <w:p w14:paraId="7FE3140F">
      <w:pPr>
        <w:spacing w:line="360" w:lineRule="auto"/>
        <w:ind w:firstLine="420" w:firstLineChars="200"/>
        <w:rPr>
          <w:rFonts w:ascii="宋体" w:hAnsi="宋体" w:cs="宋体"/>
          <w:kern w:val="0"/>
          <w:szCs w:val="21"/>
          <w:highlight w:val="none"/>
        </w:rPr>
      </w:pPr>
      <w:bookmarkStart w:id="477" w:name="_Toc371436290"/>
      <w:bookmarkStart w:id="478" w:name="_Toc87"/>
      <w:bookmarkStart w:id="479" w:name="_Toc14676"/>
      <w:bookmarkStart w:id="480" w:name="_Toc373403839"/>
      <w:bookmarkStart w:id="481" w:name="_Toc5580"/>
      <w:r>
        <w:rPr>
          <w:rFonts w:hint="eastAsia" w:ascii="宋体" w:hAnsi="宋体" w:cs="宋体"/>
          <w:kern w:val="0"/>
          <w:szCs w:val="21"/>
          <w:highlight w:val="none"/>
        </w:rPr>
        <w:t>32.2 承包人办理保险</w:t>
      </w:r>
      <w:bookmarkEnd w:id="477"/>
      <w:bookmarkEnd w:id="478"/>
      <w:bookmarkEnd w:id="479"/>
      <w:bookmarkEnd w:id="480"/>
      <w:bookmarkEnd w:id="481"/>
    </w:p>
    <w:p w14:paraId="31C24F90">
      <w:pPr>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本款更改为：</w:t>
      </w:r>
    </w:p>
    <w:p w14:paraId="0D9EFE4E">
      <w:pPr>
        <w:spacing w:line="360" w:lineRule="auto"/>
        <w:ind w:firstLine="422" w:firstLineChars="200"/>
        <w:rPr>
          <w:rFonts w:ascii="宋体" w:hAnsi="宋体" w:cs="宋体"/>
          <w:b/>
          <w:kern w:val="0"/>
          <w:szCs w:val="21"/>
          <w:highlight w:val="none"/>
        </w:rPr>
      </w:pPr>
      <w:r>
        <w:rPr>
          <w:rFonts w:ascii="宋体" w:hAnsi="宋体" w:cs="宋体"/>
          <w:b/>
          <w:kern w:val="0"/>
          <w:szCs w:val="21"/>
          <w:highlight w:val="none"/>
        </w:rPr>
        <w:t>承包人应按照下列规定</w:t>
      </w:r>
      <w:r>
        <w:rPr>
          <w:rFonts w:hint="eastAsia" w:ascii="宋体" w:hAnsi="宋体" w:cs="宋体"/>
          <w:b/>
          <w:kern w:val="0"/>
          <w:szCs w:val="21"/>
          <w:highlight w:val="none"/>
        </w:rPr>
        <w:t>向工程所在地的合法保险机构</w:t>
      </w:r>
      <w:r>
        <w:rPr>
          <w:rFonts w:ascii="宋体" w:hAnsi="宋体" w:cs="宋体"/>
          <w:b/>
          <w:kern w:val="0"/>
          <w:szCs w:val="21"/>
          <w:highlight w:val="none"/>
        </w:rPr>
        <w:t>办理保险，并支付保险费：</w:t>
      </w:r>
    </w:p>
    <w:p w14:paraId="36F02E29">
      <w:pPr>
        <w:spacing w:line="360" w:lineRule="auto"/>
        <w:ind w:firstLine="422" w:firstLineChars="200"/>
        <w:rPr>
          <w:rFonts w:ascii="宋体" w:hAnsi="宋体" w:cs="宋体"/>
          <w:b/>
          <w:kern w:val="0"/>
          <w:szCs w:val="21"/>
          <w:highlight w:val="none"/>
        </w:rPr>
      </w:pPr>
      <w:r>
        <w:rPr>
          <w:rFonts w:hint="eastAsia" w:ascii="宋体" w:hAnsi="宋体" w:cs="宋体"/>
          <w:b/>
          <w:kern w:val="0"/>
          <w:szCs w:val="21"/>
          <w:highlight w:val="none"/>
        </w:rPr>
        <w:t>（1）工程开工前，为合同工程办理建筑工程一切险、安装工程一切险；</w:t>
      </w:r>
    </w:p>
    <w:p w14:paraId="5A4D1B77">
      <w:pPr>
        <w:spacing w:line="360" w:lineRule="auto"/>
        <w:ind w:firstLine="422" w:firstLineChars="200"/>
        <w:rPr>
          <w:rFonts w:ascii="宋体" w:hAnsi="宋体" w:cs="宋体"/>
          <w:b/>
          <w:kern w:val="0"/>
          <w:szCs w:val="21"/>
          <w:highlight w:val="none"/>
        </w:rPr>
      </w:pPr>
      <w:r>
        <w:rPr>
          <w:rFonts w:hint="eastAsia" w:ascii="宋体" w:hAnsi="宋体" w:cs="宋体"/>
          <w:b/>
          <w:kern w:val="0"/>
          <w:szCs w:val="21"/>
          <w:highlight w:val="none"/>
        </w:rPr>
        <w:t>（2）工程开工前，为施工场地内的自有人员（包括监理工程师、造价工程师在内）办理工伤保险、意外伤害保险；</w:t>
      </w:r>
    </w:p>
    <w:p w14:paraId="2DA37A3F">
      <w:pPr>
        <w:spacing w:line="360" w:lineRule="auto"/>
        <w:ind w:firstLine="422" w:firstLineChars="200"/>
        <w:rPr>
          <w:rFonts w:ascii="宋体" w:hAnsi="宋体" w:cs="宋体"/>
          <w:b/>
          <w:kern w:val="0"/>
          <w:szCs w:val="21"/>
          <w:highlight w:val="none"/>
        </w:rPr>
      </w:pPr>
      <w:r>
        <w:rPr>
          <w:rFonts w:hint="eastAsia" w:ascii="宋体" w:hAnsi="宋体" w:cs="宋体"/>
          <w:b/>
          <w:kern w:val="0"/>
          <w:szCs w:val="21"/>
          <w:highlight w:val="none"/>
        </w:rPr>
        <w:t>（3</w:t>
      </w:r>
      <w:r>
        <w:rPr>
          <w:rFonts w:ascii="宋体" w:hAnsi="宋体" w:cs="宋体"/>
          <w:b/>
          <w:kern w:val="0"/>
          <w:szCs w:val="21"/>
          <w:highlight w:val="none"/>
        </w:rPr>
        <w:t>）</w:t>
      </w:r>
      <w:r>
        <w:rPr>
          <w:rFonts w:hint="eastAsia" w:ascii="宋体" w:hAnsi="宋体" w:cs="宋体"/>
          <w:b/>
          <w:kern w:val="0"/>
          <w:szCs w:val="21"/>
          <w:highlight w:val="none"/>
        </w:rPr>
        <w:t>为第三者办理第三者责任险；</w:t>
      </w:r>
    </w:p>
    <w:p w14:paraId="0EF16D13">
      <w:pPr>
        <w:spacing w:line="360" w:lineRule="auto"/>
        <w:ind w:firstLine="422" w:firstLineChars="200"/>
        <w:rPr>
          <w:rFonts w:ascii="宋体" w:hAnsi="宋体" w:cs="宋体"/>
          <w:b/>
          <w:kern w:val="0"/>
          <w:szCs w:val="21"/>
          <w:highlight w:val="none"/>
        </w:rPr>
      </w:pPr>
      <w:r>
        <w:rPr>
          <w:rFonts w:hint="eastAsia" w:ascii="宋体" w:hAnsi="宋体" w:cs="宋体"/>
          <w:b/>
          <w:kern w:val="0"/>
          <w:szCs w:val="21"/>
          <w:highlight w:val="none"/>
        </w:rPr>
        <w:t>(4)为运至施工场地内用于永久工程的材料和待安装工程设备办理保险。</w:t>
      </w:r>
    </w:p>
    <w:p w14:paraId="41102060">
      <w:pPr>
        <w:spacing w:line="360" w:lineRule="auto"/>
        <w:ind w:firstLine="422" w:firstLineChars="200"/>
        <w:rPr>
          <w:rFonts w:ascii="宋体" w:hAnsi="宋体" w:cs="宋体"/>
          <w:b/>
          <w:kern w:val="0"/>
          <w:szCs w:val="21"/>
          <w:highlight w:val="none"/>
        </w:rPr>
      </w:pPr>
      <w:r>
        <w:rPr>
          <w:rFonts w:ascii="宋体" w:hAnsi="宋体" w:cs="宋体"/>
          <w:b/>
          <w:kern w:val="0"/>
          <w:szCs w:val="21"/>
          <w:highlight w:val="none"/>
        </w:rPr>
        <w:t>保险期从开工之日起至工程竣工验收合格之日止。</w:t>
      </w:r>
    </w:p>
    <w:p w14:paraId="77C19062">
      <w:pPr>
        <w:spacing w:line="360" w:lineRule="auto"/>
        <w:ind w:firstLine="422" w:firstLineChars="200"/>
        <w:rPr>
          <w:rFonts w:ascii="宋体" w:hAnsi="宋体" w:cs="宋体"/>
          <w:b/>
          <w:kern w:val="0"/>
          <w:szCs w:val="21"/>
          <w:highlight w:val="none"/>
        </w:rPr>
      </w:pPr>
      <w:r>
        <w:rPr>
          <w:rFonts w:hint="eastAsia" w:ascii="宋体" w:hAnsi="宋体" w:cs="宋体"/>
          <w:b/>
          <w:kern w:val="0"/>
          <w:szCs w:val="21"/>
          <w:highlight w:val="none"/>
        </w:rPr>
        <w:t>承包人（含分包人）在本工程的施工作业人员必须参加工伤保险。工程开工前，承包人（含分包人）到工程所在地的社会保障部门办理工程项目社会保险登记，并按工程总造价的一定比例支付工伤保险费用。</w:t>
      </w:r>
    </w:p>
    <w:p w14:paraId="378E5CB2">
      <w:pPr>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 xml:space="preserve">32.7  保险赔偿金的用途 </w:t>
      </w:r>
    </w:p>
    <w:p w14:paraId="596F18B3">
      <w:pPr>
        <w:spacing w:line="360" w:lineRule="auto"/>
        <w:ind w:firstLine="422" w:firstLineChars="200"/>
        <w:rPr>
          <w:rFonts w:ascii="宋体" w:hAnsi="宋体" w:cs="宋体"/>
          <w:b/>
          <w:kern w:val="0"/>
          <w:szCs w:val="21"/>
          <w:highlight w:val="none"/>
        </w:rPr>
      </w:pPr>
      <w:r>
        <w:rPr>
          <w:rFonts w:hint="eastAsia" w:ascii="宋体" w:hAnsi="宋体" w:cs="宋体"/>
          <w:b/>
          <w:kern w:val="0"/>
          <w:szCs w:val="21"/>
          <w:highlight w:val="none"/>
        </w:rPr>
        <w:t>本款文末增加“保险赔偿金不足以补偿损失的，应由承包人和发包人按各自责任范围补偿” 。</w:t>
      </w:r>
    </w:p>
    <w:p w14:paraId="2BC3D70C">
      <w:pPr>
        <w:spacing w:line="360" w:lineRule="auto"/>
        <w:ind w:firstLine="420" w:firstLineChars="200"/>
        <w:rPr>
          <w:rFonts w:ascii="宋体" w:hAnsi="宋体"/>
          <w:szCs w:val="21"/>
          <w:highlight w:val="none"/>
        </w:rPr>
      </w:pPr>
      <w:bookmarkStart w:id="482" w:name="_Toc259494170"/>
      <w:bookmarkStart w:id="483" w:name="_Toc404592600"/>
      <w:bookmarkStart w:id="484" w:name="_Toc283188300"/>
      <w:bookmarkStart w:id="485" w:name="_Toc279710360"/>
      <w:bookmarkStart w:id="486" w:name="_Toc404592960"/>
      <w:r>
        <w:rPr>
          <w:rFonts w:hint="eastAsia" w:ascii="宋体" w:hAnsi="宋体" w:cs="宋体"/>
          <w:kern w:val="0"/>
          <w:szCs w:val="21"/>
          <w:highlight w:val="none"/>
        </w:rPr>
        <w:t>32.8  担保内容和责任等事项的约定：</w:t>
      </w:r>
      <w:r>
        <w:rPr>
          <w:rFonts w:hint="eastAsia" w:ascii="宋体" w:hAnsi="宋体" w:cs="宋体"/>
          <w:b/>
          <w:kern w:val="0"/>
          <w:szCs w:val="21"/>
          <w:highlight w:val="none"/>
        </w:rPr>
        <w:t>承包人需要变动保险合同条款时，应先征得发包人同意，并通知监理工程师。保险人作出变动的，承包人应在收到保险人通知后三天内通知发包人和监理工程师。</w:t>
      </w:r>
      <w:bookmarkEnd w:id="482"/>
      <w:bookmarkEnd w:id="483"/>
      <w:bookmarkEnd w:id="484"/>
      <w:bookmarkEnd w:id="485"/>
      <w:bookmarkEnd w:id="486"/>
    </w:p>
    <w:p w14:paraId="78B25463">
      <w:pPr>
        <w:pStyle w:val="6"/>
        <w:rPr>
          <w:szCs w:val="24"/>
          <w:highlight w:val="none"/>
        </w:rPr>
      </w:pPr>
      <w:bookmarkStart w:id="487" w:name="_Toc520715140"/>
      <w:bookmarkStart w:id="488" w:name="_Toc30815"/>
      <w:bookmarkStart w:id="489" w:name="_Toc273290707"/>
      <w:bookmarkStart w:id="490" w:name="_Toc271290682"/>
      <w:bookmarkStart w:id="491" w:name="_Toc461980477"/>
      <w:bookmarkStart w:id="492" w:name="_Toc254775524"/>
      <w:r>
        <w:rPr>
          <w:rFonts w:hint="eastAsia"/>
          <w:szCs w:val="24"/>
          <w:highlight w:val="none"/>
        </w:rPr>
        <w:t>33、进度计划和报告</w:t>
      </w:r>
      <w:bookmarkEnd w:id="487"/>
      <w:bookmarkEnd w:id="488"/>
      <w:bookmarkEnd w:id="489"/>
      <w:bookmarkEnd w:id="490"/>
      <w:bookmarkEnd w:id="491"/>
      <w:bookmarkEnd w:id="492"/>
    </w:p>
    <w:p w14:paraId="34C2FEC6">
      <w:pPr>
        <w:rPr>
          <w:rFonts w:ascii="宋体" w:hAnsi="宋体"/>
          <w:szCs w:val="21"/>
          <w:highlight w:val="none"/>
        </w:rPr>
      </w:pPr>
      <w:bookmarkStart w:id="493" w:name="_Toc273290708"/>
      <w:bookmarkStart w:id="494" w:name="_Toc461980478"/>
      <w:bookmarkStart w:id="495" w:name="_Toc5134"/>
      <w:bookmarkStart w:id="496" w:name="_Toc334014641"/>
      <w:bookmarkStart w:id="497" w:name="_Toc44235714"/>
      <w:bookmarkStart w:id="498" w:name="_Toc263775831"/>
      <w:bookmarkStart w:id="499" w:name="_Toc520715141"/>
      <w:bookmarkStart w:id="500" w:name="_Toc271290683"/>
      <w:r>
        <w:rPr>
          <w:rFonts w:hint="eastAsia" w:ascii="宋体" w:hAnsi="宋体"/>
          <w:szCs w:val="21"/>
          <w:highlight w:val="none"/>
        </w:rPr>
        <w:t>33.1  提交工程进度计划</w:t>
      </w:r>
      <w:bookmarkEnd w:id="493"/>
      <w:bookmarkEnd w:id="494"/>
      <w:bookmarkEnd w:id="495"/>
      <w:bookmarkEnd w:id="496"/>
      <w:bookmarkEnd w:id="497"/>
      <w:bookmarkEnd w:id="498"/>
      <w:bookmarkEnd w:id="499"/>
      <w:bookmarkEnd w:id="500"/>
    </w:p>
    <w:p w14:paraId="20F63F4D">
      <w:pPr>
        <w:spacing w:line="360" w:lineRule="auto"/>
        <w:ind w:firstLine="420" w:firstLineChars="200"/>
        <w:rPr>
          <w:rFonts w:ascii="宋体" w:hAnsi="宋体"/>
          <w:szCs w:val="21"/>
          <w:highlight w:val="none"/>
        </w:rPr>
      </w:pPr>
      <w:r>
        <w:rPr>
          <w:rFonts w:hint="eastAsia" w:ascii="宋体" w:hAnsi="宋体"/>
          <w:szCs w:val="21"/>
          <w:highlight w:val="none"/>
        </w:rPr>
        <w:t>本款更改为：</w:t>
      </w:r>
    </w:p>
    <w:p w14:paraId="1BA1C7F5">
      <w:pPr>
        <w:rPr>
          <w:rFonts w:ascii="宋体" w:hAnsi="宋体"/>
          <w:b/>
          <w:szCs w:val="21"/>
          <w:highlight w:val="none"/>
        </w:rPr>
      </w:pPr>
      <w:bookmarkStart w:id="501" w:name="_Toc44235715"/>
      <w:bookmarkStart w:id="502" w:name="_Toc520715143"/>
      <w:bookmarkStart w:id="503" w:name="_Toc263775833"/>
      <w:bookmarkStart w:id="504" w:name="_Toc32221"/>
      <w:bookmarkStart w:id="505" w:name="_Toc271290685"/>
      <w:bookmarkStart w:id="506" w:name="_Toc461980480"/>
      <w:bookmarkStart w:id="507" w:name="_Toc334014643"/>
      <w:bookmarkStart w:id="508" w:name="_Toc273290710"/>
      <w:r>
        <w:rPr>
          <w:rFonts w:hint="eastAsia" w:ascii="宋体" w:hAnsi="宋体"/>
          <w:b/>
          <w:szCs w:val="21"/>
          <w:highlight w:val="none"/>
        </w:rPr>
        <w:t>承包人应在发包人发出中标通知书后的 14 天内，向监理工程师提交一式两份施工组织设计和合同工程进度计划，监理工程师应在收到该设计和计划后的 7 天内予以确认或提出修改意见。由监理工程师将上述施工组织设计和工程进度计划报发包人批准后实施。工程进度计划，应对合同工程的全部施工作业提出总体上的施工方法、施工安排、作业顺序和时间表。合同约定有单位工程的，承包人还应编制单位工程进度计划。</w:t>
      </w:r>
      <w:bookmarkEnd w:id="501"/>
    </w:p>
    <w:p w14:paraId="50BA5FB9">
      <w:pPr>
        <w:rPr>
          <w:rFonts w:ascii="宋体" w:hAnsi="宋体"/>
          <w:szCs w:val="21"/>
          <w:highlight w:val="none"/>
        </w:rPr>
      </w:pPr>
      <w:bookmarkStart w:id="509" w:name="_Toc44235716"/>
      <w:r>
        <w:rPr>
          <w:rFonts w:hint="eastAsia" w:ascii="宋体" w:hAnsi="宋体"/>
          <w:szCs w:val="21"/>
          <w:highlight w:val="none"/>
        </w:rPr>
        <w:t>33.3 承包人编制施工进度报告和修订进度计划的时间要求：按合同通用条款执行。</w:t>
      </w:r>
      <w:bookmarkEnd w:id="502"/>
      <w:bookmarkEnd w:id="503"/>
      <w:bookmarkEnd w:id="504"/>
      <w:bookmarkEnd w:id="505"/>
      <w:bookmarkEnd w:id="506"/>
      <w:bookmarkEnd w:id="507"/>
      <w:bookmarkEnd w:id="508"/>
      <w:bookmarkEnd w:id="509"/>
    </w:p>
    <w:p w14:paraId="1D6832AD">
      <w:pPr>
        <w:rPr>
          <w:rFonts w:ascii="宋体" w:hAnsi="宋体"/>
          <w:szCs w:val="21"/>
          <w:highlight w:val="none"/>
        </w:rPr>
      </w:pPr>
    </w:p>
    <w:p w14:paraId="69DD18CA">
      <w:pPr>
        <w:pStyle w:val="6"/>
        <w:rPr>
          <w:szCs w:val="24"/>
          <w:highlight w:val="none"/>
        </w:rPr>
      </w:pPr>
      <w:bookmarkStart w:id="510" w:name="_Toc273290711"/>
      <w:bookmarkStart w:id="511" w:name="_Toc271290686"/>
      <w:bookmarkStart w:id="512" w:name="_Toc254775525"/>
      <w:bookmarkStart w:id="513" w:name="_Toc461980481"/>
      <w:bookmarkStart w:id="514" w:name="_Toc520715144"/>
      <w:bookmarkStart w:id="515" w:name="_Toc20843"/>
      <w:r>
        <w:rPr>
          <w:rFonts w:hint="eastAsia"/>
          <w:szCs w:val="24"/>
          <w:highlight w:val="none"/>
        </w:rPr>
        <w:t>34、开工</w:t>
      </w:r>
      <w:bookmarkEnd w:id="510"/>
      <w:bookmarkEnd w:id="511"/>
      <w:bookmarkEnd w:id="512"/>
      <w:bookmarkEnd w:id="513"/>
      <w:bookmarkEnd w:id="514"/>
      <w:bookmarkEnd w:id="515"/>
    </w:p>
    <w:p w14:paraId="6899D8F0">
      <w:pPr>
        <w:rPr>
          <w:rFonts w:ascii="宋体" w:hAnsi="宋体"/>
          <w:szCs w:val="21"/>
          <w:highlight w:val="none"/>
        </w:rPr>
      </w:pPr>
      <w:bookmarkStart w:id="516" w:name="_Toc273290712"/>
      <w:bookmarkStart w:id="517" w:name="_Toc520715145"/>
      <w:bookmarkStart w:id="518" w:name="_Toc334014645"/>
      <w:bookmarkStart w:id="519" w:name="_Toc461980482"/>
      <w:bookmarkStart w:id="520" w:name="_Toc271290687"/>
      <w:bookmarkStart w:id="521" w:name="_Toc30879"/>
      <w:bookmarkStart w:id="522" w:name="_Toc263775835"/>
      <w:bookmarkStart w:id="523" w:name="_Toc44235717"/>
      <w:r>
        <w:rPr>
          <w:rFonts w:hint="eastAsia" w:ascii="宋体" w:hAnsi="宋体"/>
          <w:szCs w:val="21"/>
          <w:highlight w:val="none"/>
        </w:rPr>
        <w:t>34.2  工程开工</w:t>
      </w:r>
      <w:bookmarkEnd w:id="516"/>
      <w:bookmarkEnd w:id="517"/>
      <w:bookmarkEnd w:id="518"/>
      <w:bookmarkEnd w:id="519"/>
      <w:bookmarkEnd w:id="520"/>
      <w:bookmarkEnd w:id="521"/>
      <w:bookmarkEnd w:id="522"/>
      <w:bookmarkEnd w:id="523"/>
    </w:p>
    <w:p w14:paraId="2EA9DE23">
      <w:pPr>
        <w:spacing w:line="360" w:lineRule="auto"/>
        <w:ind w:firstLine="420" w:firstLineChars="200"/>
        <w:rPr>
          <w:rFonts w:ascii="宋体" w:hAnsi="宋体"/>
          <w:szCs w:val="21"/>
          <w:highlight w:val="none"/>
        </w:rPr>
      </w:pPr>
      <w:r>
        <w:rPr>
          <w:rFonts w:hint="eastAsia" w:ascii="宋体" w:hAnsi="宋体"/>
          <w:szCs w:val="21"/>
          <w:highlight w:val="none"/>
        </w:rPr>
        <w:t>本款更改为：</w:t>
      </w:r>
    </w:p>
    <w:p w14:paraId="0CA72DA0">
      <w:pPr>
        <w:spacing w:line="360" w:lineRule="auto"/>
        <w:ind w:firstLine="422" w:firstLineChars="200"/>
        <w:rPr>
          <w:rFonts w:ascii="宋体" w:hAnsi="宋体"/>
          <w:b/>
          <w:szCs w:val="21"/>
          <w:highlight w:val="none"/>
        </w:rPr>
      </w:pPr>
      <w:r>
        <w:rPr>
          <w:rFonts w:hint="eastAsia" w:ascii="宋体" w:hAnsi="宋体"/>
          <w:b/>
          <w:szCs w:val="21"/>
          <w:highlight w:val="none"/>
        </w:rPr>
        <w:t>承包人应在签订本合同后的</w:t>
      </w:r>
      <w:r>
        <w:rPr>
          <w:rFonts w:hint="eastAsia" w:ascii="宋体" w:hAnsi="宋体"/>
          <w:b/>
          <w:szCs w:val="21"/>
          <w:highlight w:val="none"/>
          <w:u w:val="single"/>
        </w:rPr>
        <w:t xml:space="preserve"> 3 </w:t>
      </w:r>
      <w:r>
        <w:rPr>
          <w:rFonts w:hint="eastAsia" w:ascii="宋体" w:hAnsi="宋体"/>
          <w:b/>
          <w:szCs w:val="21"/>
          <w:highlight w:val="none"/>
        </w:rPr>
        <w:t>天内，向监理工程师提交开工申请书，并附上表明已做好开工准备的有关资料。监理工程师应在本合同签订后的</w:t>
      </w:r>
      <w:r>
        <w:rPr>
          <w:rFonts w:hint="eastAsia" w:ascii="宋体" w:hAnsi="宋体"/>
          <w:b/>
          <w:szCs w:val="21"/>
          <w:highlight w:val="none"/>
          <w:u w:val="single"/>
        </w:rPr>
        <w:t xml:space="preserve"> 5 </w:t>
      </w:r>
      <w:r>
        <w:rPr>
          <w:rFonts w:hint="eastAsia" w:ascii="宋体" w:hAnsi="宋体"/>
          <w:b/>
          <w:szCs w:val="21"/>
          <w:highlight w:val="none"/>
        </w:rPr>
        <w:t>天内报发包人批准后向承包人发出开工令；承包人应在接到开工令后的</w:t>
      </w:r>
      <w:r>
        <w:rPr>
          <w:rFonts w:hint="eastAsia" w:ascii="宋体" w:hAnsi="宋体"/>
          <w:b/>
          <w:szCs w:val="21"/>
          <w:highlight w:val="none"/>
          <w:u w:val="single"/>
        </w:rPr>
        <w:t xml:space="preserve"> 1 </w:t>
      </w:r>
      <w:r>
        <w:rPr>
          <w:rFonts w:hint="eastAsia" w:ascii="宋体" w:hAnsi="宋体"/>
          <w:b/>
          <w:szCs w:val="21"/>
          <w:highlight w:val="none"/>
        </w:rPr>
        <w:t>天内开工，然后一直保持合同工程连续均衡地施工，直至其被改变为止。实际开工时间以发包人或监理单位书面进场通知所载明时间为准。</w:t>
      </w:r>
    </w:p>
    <w:p w14:paraId="669C24A0">
      <w:pPr>
        <w:spacing w:line="360" w:lineRule="auto"/>
        <w:ind w:firstLine="420" w:firstLineChars="200"/>
        <w:rPr>
          <w:rFonts w:ascii="宋体" w:hAnsi="宋体"/>
          <w:szCs w:val="21"/>
          <w:highlight w:val="none"/>
        </w:rPr>
      </w:pPr>
      <w:bookmarkStart w:id="524" w:name="_Toc283188306"/>
      <w:bookmarkStart w:id="525" w:name="_Toc259494174"/>
      <w:bookmarkStart w:id="526" w:name="_Toc404592966"/>
      <w:bookmarkStart w:id="527" w:name="_Toc279710366"/>
      <w:bookmarkStart w:id="528" w:name="_Toc404592606"/>
      <w:r>
        <w:rPr>
          <w:rFonts w:hint="eastAsia" w:ascii="宋体" w:hAnsi="宋体"/>
          <w:szCs w:val="21"/>
          <w:highlight w:val="none"/>
        </w:rPr>
        <w:t>34.4  发包人推迟开工的处理程序和责任</w:t>
      </w:r>
      <w:bookmarkEnd w:id="524"/>
      <w:bookmarkEnd w:id="525"/>
      <w:bookmarkEnd w:id="526"/>
      <w:bookmarkEnd w:id="527"/>
      <w:bookmarkEnd w:id="528"/>
    </w:p>
    <w:p w14:paraId="163B348E">
      <w:pPr>
        <w:spacing w:line="360" w:lineRule="auto"/>
        <w:ind w:firstLine="420" w:firstLineChars="200"/>
        <w:rPr>
          <w:rFonts w:ascii="宋体" w:hAnsi="宋体"/>
          <w:szCs w:val="21"/>
          <w:highlight w:val="none"/>
        </w:rPr>
      </w:pPr>
      <w:r>
        <w:rPr>
          <w:rFonts w:hint="eastAsia" w:ascii="宋体" w:hAnsi="宋体"/>
          <w:szCs w:val="21"/>
          <w:highlight w:val="none"/>
        </w:rPr>
        <w:t>本款更改为：</w:t>
      </w:r>
    </w:p>
    <w:p w14:paraId="1450CDA8">
      <w:pPr>
        <w:spacing w:line="360" w:lineRule="auto"/>
        <w:ind w:firstLine="420" w:firstLineChars="200"/>
        <w:rPr>
          <w:rFonts w:ascii="宋体" w:hAnsi="宋体"/>
          <w:szCs w:val="21"/>
          <w:highlight w:val="none"/>
        </w:rPr>
      </w:pPr>
      <w:r>
        <w:rPr>
          <w:rFonts w:hint="eastAsia" w:ascii="宋体" w:hAnsi="宋体"/>
          <w:szCs w:val="21"/>
          <w:highlight w:val="none"/>
        </w:rPr>
        <w:t>因发包人原因不能在第34.2款规定的时间内发出开工令的，监理工程师应至少提前</w:t>
      </w:r>
      <w:r>
        <w:rPr>
          <w:rFonts w:hint="eastAsia" w:ascii="宋体" w:hAnsi="宋体"/>
          <w:szCs w:val="21"/>
          <w:highlight w:val="none"/>
          <w:u w:val="single"/>
        </w:rPr>
        <w:t xml:space="preserve"> 2 </w:t>
      </w:r>
      <w:r>
        <w:rPr>
          <w:rFonts w:hint="eastAsia" w:ascii="宋体" w:hAnsi="宋体"/>
          <w:szCs w:val="21"/>
          <w:highlight w:val="none"/>
        </w:rPr>
        <w:t xml:space="preserve">天以书面形式通知承包人推迟开工，开工日期相应顺延。 </w:t>
      </w:r>
    </w:p>
    <w:p w14:paraId="4F18B191">
      <w:pPr>
        <w:pStyle w:val="6"/>
        <w:rPr>
          <w:szCs w:val="24"/>
          <w:highlight w:val="none"/>
        </w:rPr>
      </w:pPr>
      <w:bookmarkStart w:id="529" w:name="_Toc19485"/>
      <w:bookmarkStart w:id="530" w:name="_Toc273290713"/>
      <w:bookmarkStart w:id="531" w:name="_Toc461980483"/>
      <w:bookmarkStart w:id="532" w:name="_Toc271290688"/>
      <w:bookmarkStart w:id="533" w:name="_Toc254775526"/>
      <w:bookmarkStart w:id="534" w:name="_Toc520715146"/>
      <w:r>
        <w:rPr>
          <w:rFonts w:hint="eastAsia"/>
          <w:szCs w:val="24"/>
          <w:highlight w:val="none"/>
        </w:rPr>
        <w:t>35、暂停施工和复工</w:t>
      </w:r>
      <w:bookmarkEnd w:id="529"/>
      <w:bookmarkEnd w:id="530"/>
      <w:bookmarkEnd w:id="531"/>
      <w:bookmarkEnd w:id="532"/>
      <w:bookmarkEnd w:id="533"/>
      <w:bookmarkEnd w:id="534"/>
    </w:p>
    <w:p w14:paraId="0EB3113E">
      <w:pPr>
        <w:rPr>
          <w:rFonts w:ascii="宋体" w:hAnsi="宋体"/>
          <w:highlight w:val="none"/>
        </w:rPr>
      </w:pPr>
      <w:r>
        <w:rPr>
          <w:rFonts w:hint="eastAsia" w:ascii="宋体" w:hAnsi="宋体"/>
          <w:highlight w:val="none"/>
        </w:rPr>
        <w:t xml:space="preserve">     </w:t>
      </w:r>
      <w:bookmarkStart w:id="535" w:name="_Toc44235718"/>
      <w:r>
        <w:rPr>
          <w:rFonts w:hint="eastAsia" w:ascii="宋体" w:hAnsi="宋体"/>
          <w:highlight w:val="none"/>
        </w:rPr>
        <w:t>35.4  发包人、承包人原因和不可抗力因素造成暂停施工的其他情形：</w:t>
      </w:r>
      <w:bookmarkEnd w:id="535"/>
    </w:p>
    <w:p w14:paraId="1811CDF2">
      <w:pPr>
        <w:rPr>
          <w:rFonts w:ascii="宋体" w:hAnsi="宋体"/>
          <w:b/>
          <w:highlight w:val="none"/>
        </w:rPr>
      </w:pPr>
      <w:r>
        <w:rPr>
          <w:rFonts w:hint="eastAsia" w:ascii="宋体" w:hAnsi="宋体"/>
          <w:highlight w:val="none"/>
        </w:rPr>
        <w:t xml:space="preserve">  </w:t>
      </w:r>
      <w:r>
        <w:rPr>
          <w:rFonts w:hint="eastAsia" w:ascii="宋体" w:hAnsi="宋体"/>
          <w:b/>
          <w:highlight w:val="none"/>
        </w:rPr>
        <w:t xml:space="preserve">   </w:t>
      </w:r>
      <w:bookmarkStart w:id="536" w:name="_Toc44235719"/>
      <w:r>
        <w:rPr>
          <w:rFonts w:hint="eastAsia" w:ascii="宋体" w:hAnsi="宋体"/>
          <w:b/>
          <w:highlight w:val="none"/>
        </w:rPr>
        <w:t>（1）发包人原因造成暂停施工的其他情形：无。</w:t>
      </w:r>
      <w:bookmarkEnd w:id="536"/>
    </w:p>
    <w:p w14:paraId="0870BEDE">
      <w:pPr>
        <w:rPr>
          <w:rFonts w:ascii="宋体" w:hAnsi="宋体"/>
          <w:b/>
          <w:highlight w:val="none"/>
        </w:rPr>
      </w:pPr>
      <w:r>
        <w:rPr>
          <w:rFonts w:hint="eastAsia" w:ascii="宋体" w:hAnsi="宋体"/>
          <w:b/>
          <w:highlight w:val="none"/>
        </w:rPr>
        <w:t xml:space="preserve">     </w:t>
      </w:r>
      <w:bookmarkStart w:id="537" w:name="_Toc44235720"/>
      <w:r>
        <w:rPr>
          <w:rFonts w:hint="eastAsia" w:ascii="宋体" w:hAnsi="宋体"/>
          <w:b/>
          <w:highlight w:val="none"/>
        </w:rPr>
        <w:t>（2）承包人原因造成暂停施工的其他情形：无。</w:t>
      </w:r>
      <w:bookmarkEnd w:id="537"/>
    </w:p>
    <w:p w14:paraId="19CC4088">
      <w:pPr>
        <w:rPr>
          <w:rFonts w:ascii="宋体" w:hAnsi="宋体"/>
          <w:b/>
          <w:highlight w:val="none"/>
        </w:rPr>
      </w:pPr>
      <w:r>
        <w:rPr>
          <w:rFonts w:hint="eastAsia" w:ascii="宋体" w:hAnsi="宋体"/>
          <w:b/>
          <w:highlight w:val="none"/>
        </w:rPr>
        <w:t xml:space="preserve">     </w:t>
      </w:r>
      <w:bookmarkStart w:id="538" w:name="_Toc44235721"/>
      <w:r>
        <w:rPr>
          <w:rFonts w:hint="eastAsia" w:ascii="宋体" w:hAnsi="宋体"/>
          <w:b/>
          <w:highlight w:val="none"/>
        </w:rPr>
        <w:t>（3）不可抗力因素造成暂停施工的其他情形：</w:t>
      </w:r>
      <w:bookmarkEnd w:id="538"/>
    </w:p>
    <w:p w14:paraId="4661CB45">
      <w:pPr>
        <w:spacing w:line="360" w:lineRule="auto"/>
        <w:ind w:firstLine="422" w:firstLineChars="200"/>
        <w:rPr>
          <w:rFonts w:ascii="宋体" w:hAnsi="宋体"/>
          <w:b/>
          <w:szCs w:val="21"/>
          <w:highlight w:val="none"/>
        </w:rPr>
      </w:pPr>
      <w:r>
        <w:rPr>
          <w:rFonts w:hint="eastAsia" w:ascii="宋体" w:hAnsi="宋体"/>
          <w:b/>
          <w:szCs w:val="21"/>
          <w:highlight w:val="none"/>
        </w:rPr>
        <w:t>①持续高温：连续三日日最高气温38℃以上；</w:t>
      </w:r>
    </w:p>
    <w:p w14:paraId="721FE666">
      <w:pPr>
        <w:spacing w:line="360" w:lineRule="auto"/>
        <w:ind w:firstLine="422" w:firstLineChars="200"/>
        <w:rPr>
          <w:rFonts w:ascii="宋体" w:hAnsi="宋体"/>
          <w:b/>
          <w:szCs w:val="21"/>
          <w:highlight w:val="none"/>
        </w:rPr>
      </w:pPr>
      <w:r>
        <w:rPr>
          <w:rFonts w:hint="eastAsia" w:ascii="宋体" w:hAnsi="宋体"/>
          <w:b/>
          <w:szCs w:val="21"/>
          <w:highlight w:val="none"/>
        </w:rPr>
        <w:t>②持续低温：连续三日日最低温气温-20℃以下；</w:t>
      </w:r>
    </w:p>
    <w:p w14:paraId="40B3F239">
      <w:pPr>
        <w:spacing w:line="360" w:lineRule="auto"/>
        <w:ind w:firstLine="422" w:firstLineChars="200"/>
        <w:rPr>
          <w:rFonts w:ascii="宋体" w:hAnsi="宋体"/>
          <w:b/>
          <w:szCs w:val="21"/>
          <w:highlight w:val="none"/>
        </w:rPr>
      </w:pPr>
      <w:r>
        <w:rPr>
          <w:rFonts w:hint="eastAsia" w:ascii="宋体" w:hAnsi="宋体"/>
          <w:b/>
          <w:szCs w:val="21"/>
          <w:highlight w:val="none"/>
        </w:rPr>
        <w:t>③大风天气：日风力在6级以上且持续时间不少于4小时，或阵风大于8级；</w:t>
      </w:r>
    </w:p>
    <w:p w14:paraId="1B95448F">
      <w:pPr>
        <w:spacing w:line="360" w:lineRule="auto"/>
        <w:ind w:firstLine="422" w:firstLineChars="200"/>
        <w:rPr>
          <w:rFonts w:ascii="宋体" w:hAnsi="宋体"/>
          <w:b/>
          <w:szCs w:val="21"/>
          <w:highlight w:val="none"/>
        </w:rPr>
      </w:pPr>
      <w:r>
        <w:rPr>
          <w:rFonts w:hint="eastAsia" w:ascii="宋体" w:hAnsi="宋体"/>
          <w:b/>
          <w:szCs w:val="21"/>
          <w:highlight w:val="none"/>
        </w:rPr>
        <w:t>④暴雨天气：日降雨量50mm及以上，或降雨强度大于20mm/h；</w:t>
      </w:r>
    </w:p>
    <w:p w14:paraId="358E1133">
      <w:pPr>
        <w:spacing w:line="360" w:lineRule="auto"/>
        <w:ind w:firstLine="422" w:firstLineChars="200"/>
        <w:rPr>
          <w:rFonts w:ascii="宋体" w:hAnsi="宋体"/>
          <w:b/>
          <w:szCs w:val="21"/>
          <w:highlight w:val="none"/>
        </w:rPr>
      </w:pPr>
      <w:r>
        <w:rPr>
          <w:rFonts w:hint="eastAsia" w:ascii="宋体" w:hAnsi="宋体"/>
          <w:b/>
          <w:szCs w:val="21"/>
          <w:highlight w:val="none"/>
        </w:rPr>
        <w:t>⑤暴雪天气：日降雪量10mm及以上；</w:t>
      </w:r>
    </w:p>
    <w:p w14:paraId="33CF4457">
      <w:pPr>
        <w:spacing w:line="360" w:lineRule="auto"/>
        <w:ind w:firstLine="422" w:firstLineChars="200"/>
        <w:rPr>
          <w:rFonts w:ascii="宋体" w:hAnsi="宋体"/>
          <w:b/>
          <w:szCs w:val="21"/>
          <w:highlight w:val="none"/>
        </w:rPr>
      </w:pPr>
      <w:r>
        <w:rPr>
          <w:rFonts w:hint="eastAsia" w:ascii="宋体" w:hAnsi="宋体"/>
          <w:b/>
          <w:szCs w:val="21"/>
          <w:highlight w:val="none"/>
        </w:rPr>
        <w:t>⑥水淹：施工场地大部或全部被潮水、洪水或雨水淹没超过1天；</w:t>
      </w:r>
    </w:p>
    <w:p w14:paraId="6570188E">
      <w:pPr>
        <w:spacing w:line="360" w:lineRule="auto"/>
        <w:ind w:firstLine="422" w:firstLineChars="200"/>
        <w:rPr>
          <w:rFonts w:ascii="宋体" w:hAnsi="宋体"/>
          <w:highlight w:val="none"/>
        </w:rPr>
      </w:pPr>
      <w:r>
        <w:rPr>
          <w:rFonts w:hint="eastAsia" w:ascii="宋体" w:hAnsi="宋体"/>
          <w:b/>
          <w:szCs w:val="21"/>
          <w:highlight w:val="none"/>
        </w:rPr>
        <w:t>⑦烈度7度以上（含7度）的地震。</w:t>
      </w:r>
    </w:p>
    <w:p w14:paraId="43923650">
      <w:pPr>
        <w:pStyle w:val="6"/>
        <w:rPr>
          <w:szCs w:val="24"/>
          <w:highlight w:val="none"/>
        </w:rPr>
      </w:pPr>
      <w:bookmarkStart w:id="539" w:name="_Toc254775527"/>
      <w:bookmarkStart w:id="540" w:name="_Toc461980485"/>
      <w:bookmarkStart w:id="541" w:name="_Toc10809"/>
      <w:bookmarkStart w:id="542" w:name="_Toc271290690"/>
      <w:bookmarkStart w:id="543" w:name="_Toc520715148"/>
      <w:bookmarkStart w:id="544" w:name="_Toc273290715"/>
      <w:r>
        <w:rPr>
          <w:rFonts w:hint="eastAsia"/>
          <w:szCs w:val="24"/>
          <w:highlight w:val="none"/>
        </w:rPr>
        <w:t>36、工期及工期延误</w:t>
      </w:r>
      <w:bookmarkEnd w:id="539"/>
      <w:bookmarkEnd w:id="540"/>
      <w:bookmarkEnd w:id="541"/>
      <w:bookmarkEnd w:id="542"/>
      <w:bookmarkEnd w:id="543"/>
      <w:bookmarkEnd w:id="544"/>
    </w:p>
    <w:p w14:paraId="4DC68F7E">
      <w:pPr>
        <w:spacing w:line="360" w:lineRule="auto"/>
        <w:rPr>
          <w:rFonts w:ascii="宋体" w:hAnsi="宋体"/>
          <w:szCs w:val="21"/>
          <w:highlight w:val="none"/>
        </w:rPr>
      </w:pPr>
      <w:r>
        <w:rPr>
          <w:rFonts w:hint="eastAsia" w:ascii="宋体" w:hAnsi="宋体"/>
          <w:b/>
          <w:szCs w:val="21"/>
          <w:highlight w:val="none"/>
        </w:rPr>
        <w:t>36.2  合同工程</w:t>
      </w:r>
      <w:r>
        <w:rPr>
          <w:rFonts w:hint="eastAsia" w:ascii="宋体" w:hAnsi="宋体"/>
          <w:szCs w:val="21"/>
          <w:highlight w:val="none"/>
        </w:rPr>
        <w:t>的工期约定为（  ）天。（实际开工时间以发包人或监理单位书面进场通知所载明时间为准，竣工时间以实际开工时间推定）。</w:t>
      </w:r>
    </w:p>
    <w:p w14:paraId="32E2900F">
      <w:pPr>
        <w:spacing w:line="360" w:lineRule="auto"/>
        <w:rPr>
          <w:rFonts w:ascii="宋体" w:hAnsi="宋体"/>
          <w:highlight w:val="none"/>
        </w:rPr>
      </w:pPr>
      <w:bookmarkStart w:id="545" w:name="_Toc11937"/>
      <w:bookmarkStart w:id="546" w:name="_Toc461980486"/>
      <w:bookmarkStart w:id="547" w:name="_Toc273290716"/>
      <w:bookmarkStart w:id="548" w:name="_Toc271290691"/>
      <w:bookmarkStart w:id="549" w:name="_Toc254775528"/>
      <w:bookmarkStart w:id="550" w:name="_Toc520715149"/>
      <w:r>
        <w:rPr>
          <w:rFonts w:hint="eastAsia" w:ascii="宋体" w:hAnsi="宋体"/>
          <w:highlight w:val="none"/>
        </w:rPr>
        <w:t>38、竣工日期</w:t>
      </w:r>
      <w:bookmarkEnd w:id="545"/>
      <w:bookmarkEnd w:id="546"/>
      <w:bookmarkEnd w:id="547"/>
      <w:bookmarkEnd w:id="548"/>
      <w:bookmarkEnd w:id="549"/>
      <w:bookmarkEnd w:id="550"/>
    </w:p>
    <w:p w14:paraId="511D4161">
      <w:pPr>
        <w:spacing w:line="360" w:lineRule="auto"/>
        <w:rPr>
          <w:rFonts w:ascii="宋体" w:hAnsi="宋体"/>
          <w:szCs w:val="21"/>
          <w:highlight w:val="none"/>
        </w:rPr>
      </w:pPr>
      <w:r>
        <w:rPr>
          <w:rFonts w:hint="eastAsia" w:ascii="宋体" w:hAnsi="宋体"/>
          <w:szCs w:val="21"/>
          <w:highlight w:val="none"/>
        </w:rPr>
        <w:t>38.1  计划竣工日期：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w:t>
      </w:r>
    </w:p>
    <w:p w14:paraId="1F5067D3">
      <w:pPr>
        <w:pStyle w:val="6"/>
        <w:rPr>
          <w:szCs w:val="24"/>
          <w:highlight w:val="none"/>
        </w:rPr>
      </w:pPr>
      <w:bookmarkStart w:id="551" w:name="_Toc271290692"/>
      <w:bookmarkStart w:id="552" w:name="_Toc520715150"/>
      <w:bookmarkStart w:id="553" w:name="_Toc461980487"/>
      <w:bookmarkStart w:id="554" w:name="_Toc254775529"/>
      <w:bookmarkStart w:id="555" w:name="_Toc23063"/>
      <w:bookmarkStart w:id="556" w:name="_Toc273290717"/>
      <w:r>
        <w:rPr>
          <w:rFonts w:hint="eastAsia"/>
          <w:szCs w:val="24"/>
          <w:highlight w:val="none"/>
        </w:rPr>
        <w:t>42、质量目标</w:t>
      </w:r>
      <w:bookmarkEnd w:id="551"/>
      <w:bookmarkEnd w:id="552"/>
      <w:bookmarkEnd w:id="553"/>
      <w:bookmarkEnd w:id="554"/>
      <w:bookmarkEnd w:id="555"/>
      <w:bookmarkEnd w:id="556"/>
    </w:p>
    <w:p w14:paraId="117190C0">
      <w:pPr>
        <w:spacing w:line="360" w:lineRule="auto"/>
        <w:rPr>
          <w:rFonts w:ascii="宋体" w:hAnsi="宋体"/>
          <w:szCs w:val="21"/>
          <w:highlight w:val="none"/>
        </w:rPr>
      </w:pPr>
      <w:r>
        <w:rPr>
          <w:rFonts w:hint="eastAsia" w:ascii="宋体" w:hAnsi="宋体"/>
          <w:szCs w:val="21"/>
          <w:highlight w:val="none"/>
        </w:rPr>
        <w:t>42.1  工程质量标准：达到国家或行业质量检验评定的</w:t>
      </w:r>
      <w:r>
        <w:rPr>
          <w:rFonts w:hint="eastAsia" w:ascii="宋体" w:hAnsi="宋体"/>
          <w:szCs w:val="21"/>
          <w:highlight w:val="none"/>
          <w:u w:val="single"/>
        </w:rPr>
        <w:t xml:space="preserve"> 合格 </w:t>
      </w:r>
      <w:r>
        <w:rPr>
          <w:rFonts w:hint="eastAsia" w:ascii="宋体" w:hAnsi="宋体"/>
          <w:szCs w:val="21"/>
          <w:highlight w:val="none"/>
        </w:rPr>
        <w:t>标准，工程质量验收评定达不到约定的质量标准，由承包人付给发包人金额为合同总价 10% 的罚金。</w:t>
      </w:r>
    </w:p>
    <w:p w14:paraId="69369CB4">
      <w:pPr>
        <w:pStyle w:val="6"/>
        <w:rPr>
          <w:szCs w:val="24"/>
          <w:highlight w:val="none"/>
        </w:rPr>
      </w:pPr>
      <w:bookmarkStart w:id="557" w:name="_Toc461980488"/>
      <w:bookmarkStart w:id="558" w:name="_Toc7318"/>
      <w:bookmarkStart w:id="559" w:name="_Toc273290718"/>
      <w:bookmarkStart w:id="560" w:name="_Toc271290693"/>
      <w:bookmarkStart w:id="561" w:name="_Toc254775530"/>
      <w:bookmarkStart w:id="562" w:name="_Toc520715151"/>
      <w:r>
        <w:rPr>
          <w:rFonts w:hint="eastAsia"/>
          <w:szCs w:val="24"/>
          <w:highlight w:val="none"/>
        </w:rPr>
        <w:t>45、安全文明施工</w:t>
      </w:r>
      <w:bookmarkEnd w:id="557"/>
      <w:bookmarkEnd w:id="558"/>
      <w:bookmarkEnd w:id="559"/>
      <w:bookmarkEnd w:id="560"/>
      <w:bookmarkEnd w:id="561"/>
      <w:bookmarkEnd w:id="562"/>
    </w:p>
    <w:p w14:paraId="7DE3AC5C">
      <w:pPr>
        <w:spacing w:line="360" w:lineRule="auto"/>
        <w:rPr>
          <w:rFonts w:ascii="宋体" w:hAnsi="宋体"/>
          <w:b/>
          <w:szCs w:val="21"/>
          <w:highlight w:val="none"/>
        </w:rPr>
      </w:pPr>
      <w:bookmarkStart w:id="563" w:name="_Toc461980489"/>
      <w:bookmarkStart w:id="564" w:name="_Toc273290719"/>
      <w:bookmarkStart w:id="565" w:name="_Toc334014652"/>
      <w:bookmarkStart w:id="566" w:name="_Toc31138"/>
      <w:bookmarkStart w:id="567" w:name="_Toc520715152"/>
      <w:bookmarkStart w:id="568" w:name="_Toc271290694"/>
      <w:bookmarkStart w:id="569" w:name="_Toc263775842"/>
      <w:bookmarkStart w:id="570" w:name="_Toc44235722"/>
      <w:r>
        <w:rPr>
          <w:rFonts w:hint="eastAsia" w:ascii="宋体" w:hAnsi="宋体"/>
          <w:szCs w:val="21"/>
          <w:highlight w:val="none"/>
        </w:rPr>
        <w:t>45.1  安全文明施工的内容：</w:t>
      </w:r>
      <w:bookmarkEnd w:id="563"/>
      <w:bookmarkEnd w:id="564"/>
      <w:bookmarkEnd w:id="565"/>
      <w:bookmarkEnd w:id="566"/>
      <w:bookmarkEnd w:id="567"/>
      <w:bookmarkEnd w:id="568"/>
      <w:bookmarkEnd w:id="569"/>
      <w:bookmarkStart w:id="571" w:name="_Toc23386"/>
      <w:bookmarkStart w:id="572" w:name="_Toc520715153"/>
      <w:bookmarkStart w:id="573" w:name="_Toc263775843"/>
      <w:bookmarkStart w:id="574" w:name="_Toc273290720"/>
      <w:bookmarkStart w:id="575" w:name="_Toc334014653"/>
      <w:bookmarkStart w:id="576" w:name="_Toc461980490"/>
      <w:bookmarkStart w:id="577" w:name="_Toc271290695"/>
      <w:r>
        <w:rPr>
          <w:rFonts w:hint="eastAsia" w:ascii="宋体" w:hAnsi="宋体"/>
          <w:b/>
          <w:szCs w:val="21"/>
          <w:highlight w:val="none"/>
        </w:rPr>
        <w:t>按国家、省级汕头市有关的安全文明施工的规定内容及招标文件约定的内容。</w:t>
      </w:r>
      <w:bookmarkEnd w:id="570"/>
    </w:p>
    <w:p w14:paraId="06E62790">
      <w:pPr>
        <w:spacing w:line="360" w:lineRule="auto"/>
        <w:rPr>
          <w:rFonts w:ascii="宋体" w:hAnsi="宋体"/>
          <w:b/>
          <w:szCs w:val="21"/>
          <w:highlight w:val="none"/>
        </w:rPr>
      </w:pPr>
      <w:bookmarkStart w:id="578" w:name="_Toc44235723"/>
      <w:r>
        <w:rPr>
          <w:rFonts w:hint="eastAsia" w:ascii="宋体" w:hAnsi="宋体"/>
          <w:b/>
          <w:szCs w:val="21"/>
          <w:highlight w:val="none"/>
        </w:rPr>
        <w:t>45.3款文末增加第（7）项：</w:t>
      </w:r>
      <w:bookmarkEnd w:id="578"/>
    </w:p>
    <w:p w14:paraId="7E623B45">
      <w:pPr>
        <w:spacing w:line="360" w:lineRule="auto"/>
        <w:rPr>
          <w:rFonts w:ascii="宋体" w:hAnsi="宋体"/>
          <w:b/>
          <w:szCs w:val="21"/>
          <w:highlight w:val="none"/>
        </w:rPr>
      </w:pPr>
      <w:bookmarkStart w:id="579" w:name="_Toc44235724"/>
      <w:r>
        <w:rPr>
          <w:rFonts w:hint="eastAsia" w:ascii="宋体" w:hAnsi="宋体"/>
          <w:b/>
          <w:szCs w:val="21"/>
          <w:highlight w:val="none"/>
        </w:rPr>
        <w:t>（7）除合同约定的承包人责任外，承包人还需对有电梯安装的施工现场安全生产负责管理；承包人必须与电梯安装单位签订安全管理合同，明确各自安全责任。</w:t>
      </w:r>
      <w:bookmarkEnd w:id="579"/>
    </w:p>
    <w:p w14:paraId="2D7231C3">
      <w:pPr>
        <w:spacing w:line="360" w:lineRule="auto"/>
        <w:rPr>
          <w:rFonts w:ascii="宋体" w:hAnsi="宋体"/>
          <w:highlight w:val="none"/>
        </w:rPr>
      </w:pPr>
      <w:bookmarkStart w:id="580" w:name="_Toc44235725"/>
      <w:r>
        <w:rPr>
          <w:rFonts w:hint="eastAsia" w:ascii="宋体" w:hAnsi="宋体"/>
          <w:b/>
          <w:highlight w:val="none"/>
        </w:rPr>
        <w:t>45.5  治安管理的约定：按合同通用条款的约定执行。</w:t>
      </w:r>
      <w:bookmarkEnd w:id="571"/>
      <w:bookmarkEnd w:id="572"/>
      <w:bookmarkEnd w:id="573"/>
      <w:bookmarkEnd w:id="574"/>
      <w:bookmarkEnd w:id="575"/>
      <w:bookmarkEnd w:id="576"/>
      <w:bookmarkEnd w:id="577"/>
      <w:bookmarkEnd w:id="580"/>
    </w:p>
    <w:p w14:paraId="6911AE3A">
      <w:pPr>
        <w:pStyle w:val="6"/>
        <w:rPr>
          <w:szCs w:val="24"/>
          <w:highlight w:val="none"/>
        </w:rPr>
      </w:pPr>
      <w:bookmarkStart w:id="581" w:name="_Toc461980491"/>
      <w:bookmarkStart w:id="582" w:name="_Toc22607"/>
      <w:bookmarkStart w:id="583" w:name="_Toc520715154"/>
      <w:bookmarkStart w:id="584" w:name="_Toc271290696"/>
      <w:bookmarkStart w:id="585" w:name="_Toc273290721"/>
      <w:bookmarkStart w:id="586" w:name="_Toc254775531"/>
      <w:r>
        <w:rPr>
          <w:rFonts w:hint="eastAsia"/>
          <w:szCs w:val="24"/>
          <w:highlight w:val="none"/>
        </w:rPr>
        <w:t>46、测量放线</w:t>
      </w:r>
      <w:bookmarkEnd w:id="581"/>
      <w:bookmarkEnd w:id="582"/>
      <w:bookmarkEnd w:id="583"/>
      <w:bookmarkEnd w:id="584"/>
      <w:bookmarkEnd w:id="585"/>
      <w:bookmarkEnd w:id="586"/>
    </w:p>
    <w:p w14:paraId="507C8A48">
      <w:pPr>
        <w:spacing w:line="360" w:lineRule="auto"/>
        <w:rPr>
          <w:rFonts w:ascii="宋体" w:hAnsi="宋体"/>
          <w:szCs w:val="21"/>
          <w:highlight w:val="none"/>
        </w:rPr>
      </w:pPr>
      <w:bookmarkStart w:id="587" w:name="_Toc283188314"/>
      <w:bookmarkStart w:id="588" w:name="_Toc404592614"/>
      <w:bookmarkStart w:id="589" w:name="_Toc259494182"/>
      <w:bookmarkStart w:id="590" w:name="_Toc404592974"/>
      <w:bookmarkStart w:id="591" w:name="_Toc279710374"/>
      <w:r>
        <w:rPr>
          <w:rFonts w:hint="eastAsia" w:ascii="宋体" w:hAnsi="宋体"/>
          <w:szCs w:val="21"/>
          <w:highlight w:val="none"/>
        </w:rPr>
        <w:t>46.1监理工程师提供原始基准点等书面资料的时间更改为：收到监理工程师提供的原始基准点、基准线、基准高程等书面资料后的 3 天内。</w:t>
      </w:r>
      <w:bookmarkEnd w:id="587"/>
      <w:bookmarkEnd w:id="588"/>
      <w:bookmarkEnd w:id="589"/>
      <w:bookmarkEnd w:id="590"/>
      <w:bookmarkEnd w:id="591"/>
    </w:p>
    <w:p w14:paraId="49AB4098">
      <w:pPr>
        <w:spacing w:line="360" w:lineRule="auto"/>
        <w:rPr>
          <w:rFonts w:ascii="宋体" w:hAnsi="宋体"/>
          <w:szCs w:val="21"/>
          <w:highlight w:val="none"/>
        </w:rPr>
      </w:pPr>
      <w:bookmarkStart w:id="592" w:name="_Toc283188315"/>
      <w:bookmarkStart w:id="593" w:name="_Toc279710375"/>
      <w:bookmarkStart w:id="594" w:name="_Toc404592975"/>
      <w:bookmarkStart w:id="595" w:name="_Toc404592615"/>
      <w:r>
        <w:rPr>
          <w:rFonts w:hint="eastAsia" w:ascii="宋体" w:hAnsi="宋体"/>
          <w:szCs w:val="21"/>
          <w:highlight w:val="none"/>
        </w:rPr>
        <w:t>46.4  测量放线误差的约定：</w:t>
      </w:r>
      <w:r>
        <w:rPr>
          <w:rFonts w:hint="eastAsia" w:ascii="宋体" w:hAnsi="宋体"/>
          <w:b/>
          <w:szCs w:val="21"/>
          <w:highlight w:val="none"/>
        </w:rPr>
        <w:t>按国家、广东省的相关规范、规程和标准执行。</w:t>
      </w:r>
      <w:bookmarkEnd w:id="592"/>
      <w:bookmarkEnd w:id="593"/>
      <w:bookmarkEnd w:id="594"/>
      <w:bookmarkEnd w:id="595"/>
    </w:p>
    <w:p w14:paraId="41D23357">
      <w:pPr>
        <w:spacing w:line="360" w:lineRule="auto"/>
        <w:rPr>
          <w:rFonts w:ascii="宋体" w:hAnsi="宋体"/>
          <w:highlight w:val="none"/>
        </w:rPr>
      </w:pPr>
      <w:bookmarkStart w:id="596" w:name="_Toc520715157"/>
      <w:bookmarkStart w:id="597" w:name="_Toc271290699"/>
      <w:bookmarkStart w:id="598" w:name="_Toc254775532"/>
      <w:bookmarkStart w:id="599" w:name="_Toc273290724"/>
      <w:bookmarkStart w:id="600" w:name="_Toc13729"/>
      <w:bookmarkStart w:id="601" w:name="_Toc461980494"/>
      <w:r>
        <w:rPr>
          <w:rFonts w:hint="eastAsia" w:ascii="宋体" w:hAnsi="宋体"/>
          <w:highlight w:val="none"/>
        </w:rPr>
        <w:t>48、发包人供应材料和工程设备</w:t>
      </w:r>
      <w:bookmarkEnd w:id="596"/>
      <w:bookmarkEnd w:id="597"/>
      <w:bookmarkEnd w:id="598"/>
      <w:bookmarkEnd w:id="599"/>
      <w:bookmarkEnd w:id="600"/>
      <w:bookmarkEnd w:id="601"/>
    </w:p>
    <w:p w14:paraId="05A349BA">
      <w:pPr>
        <w:spacing w:line="360" w:lineRule="auto"/>
        <w:rPr>
          <w:rFonts w:ascii="宋体" w:hAnsi="宋体"/>
          <w:szCs w:val="21"/>
          <w:highlight w:val="none"/>
        </w:rPr>
      </w:pPr>
      <w:bookmarkStart w:id="602" w:name="_Toc520715158"/>
      <w:bookmarkStart w:id="603" w:name="_Toc4560"/>
      <w:bookmarkStart w:id="604" w:name="_Toc271290700"/>
      <w:bookmarkStart w:id="605" w:name="_Toc461980495"/>
      <w:bookmarkStart w:id="606" w:name="_Toc263775848"/>
      <w:bookmarkStart w:id="607" w:name="_Toc273290725"/>
      <w:bookmarkStart w:id="608" w:name="_Toc44235726"/>
      <w:bookmarkStart w:id="609" w:name="_Toc334014658"/>
      <w:r>
        <w:rPr>
          <w:rFonts w:hint="eastAsia" w:ascii="宋体" w:hAnsi="宋体"/>
          <w:szCs w:val="21"/>
          <w:highlight w:val="none"/>
        </w:rPr>
        <w:t>48.1  发包人是否供应材料和工程设备</w:t>
      </w:r>
      <w:bookmarkEnd w:id="602"/>
      <w:bookmarkEnd w:id="603"/>
      <w:bookmarkEnd w:id="604"/>
      <w:bookmarkEnd w:id="605"/>
      <w:bookmarkEnd w:id="606"/>
      <w:bookmarkEnd w:id="607"/>
      <w:bookmarkEnd w:id="608"/>
      <w:bookmarkEnd w:id="609"/>
    </w:p>
    <w:p w14:paraId="55584F00">
      <w:pPr>
        <w:spacing w:line="360" w:lineRule="auto"/>
        <w:rPr>
          <w:rFonts w:ascii="宋体" w:hAnsi="宋体"/>
          <w:szCs w:val="21"/>
          <w:highlight w:val="none"/>
        </w:rPr>
      </w:pPr>
      <w:r>
        <w:rPr>
          <w:rFonts w:hint="eastAsia" w:ascii="宋体" w:hAnsi="宋体"/>
          <w:szCs w:val="21"/>
          <w:highlight w:val="none"/>
        </w:rPr>
        <w:t>■   发包人不供应材料和工程设备，本条不适用。</w:t>
      </w:r>
    </w:p>
    <w:p w14:paraId="0563BFE9">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发包人供应材料和工程设备的，约定“发包人供应材料设备一览表”，作为本合同的附件。</w:t>
      </w:r>
    </w:p>
    <w:p w14:paraId="02D4D20F">
      <w:pPr>
        <w:spacing w:line="360" w:lineRule="auto"/>
        <w:rPr>
          <w:rFonts w:ascii="宋体" w:hAnsi="宋体"/>
          <w:szCs w:val="21"/>
          <w:highlight w:val="none"/>
        </w:rPr>
      </w:pPr>
      <w:r>
        <w:rPr>
          <w:rFonts w:hint="eastAsia" w:ascii="宋体" w:hAnsi="宋体"/>
          <w:szCs w:val="21"/>
          <w:highlight w:val="none"/>
        </w:rPr>
        <w:t>48.8  发包人供应材料和工程设备的合同工程结算方式：无。</w:t>
      </w:r>
    </w:p>
    <w:p w14:paraId="2BF228BB">
      <w:pPr>
        <w:pStyle w:val="6"/>
        <w:rPr>
          <w:szCs w:val="24"/>
          <w:highlight w:val="none"/>
        </w:rPr>
      </w:pPr>
      <w:bookmarkStart w:id="610" w:name="_Toc254775533"/>
      <w:bookmarkStart w:id="611" w:name="_Toc273290726"/>
      <w:bookmarkStart w:id="612" w:name="_Toc271290701"/>
      <w:bookmarkStart w:id="613" w:name="_Toc520715159"/>
      <w:bookmarkStart w:id="614" w:name="_Toc9145"/>
      <w:bookmarkStart w:id="615" w:name="_Toc461980496"/>
      <w:r>
        <w:rPr>
          <w:rFonts w:hint="eastAsia"/>
          <w:szCs w:val="24"/>
          <w:highlight w:val="none"/>
        </w:rPr>
        <w:t>49、承包人采购材料</w:t>
      </w:r>
      <w:r>
        <w:rPr>
          <w:rFonts w:hint="eastAsia"/>
          <w:szCs w:val="21"/>
          <w:highlight w:val="none"/>
        </w:rPr>
        <w:t>和工程</w:t>
      </w:r>
      <w:r>
        <w:rPr>
          <w:rFonts w:hint="eastAsia"/>
          <w:szCs w:val="24"/>
          <w:highlight w:val="none"/>
        </w:rPr>
        <w:t>设备</w:t>
      </w:r>
      <w:bookmarkEnd w:id="610"/>
      <w:bookmarkEnd w:id="611"/>
      <w:bookmarkEnd w:id="612"/>
      <w:bookmarkEnd w:id="613"/>
      <w:bookmarkEnd w:id="614"/>
      <w:bookmarkEnd w:id="615"/>
    </w:p>
    <w:p w14:paraId="7CE82162">
      <w:pPr>
        <w:spacing w:line="360" w:lineRule="auto"/>
        <w:rPr>
          <w:rFonts w:ascii="宋体" w:hAnsi="宋体"/>
          <w:szCs w:val="21"/>
          <w:highlight w:val="none"/>
        </w:rPr>
      </w:pPr>
      <w:bookmarkStart w:id="616" w:name="_Toc263775850"/>
      <w:bookmarkStart w:id="617" w:name="_Toc273290727"/>
      <w:bookmarkStart w:id="618" w:name="_Toc461980497"/>
      <w:bookmarkStart w:id="619" w:name="_Toc271290702"/>
      <w:bookmarkStart w:id="620" w:name="_Toc334014660"/>
      <w:bookmarkStart w:id="621" w:name="_Toc520715160"/>
      <w:bookmarkStart w:id="622" w:name="_Toc7115"/>
      <w:bookmarkStart w:id="623" w:name="_Toc44235727"/>
      <w:r>
        <w:rPr>
          <w:rFonts w:hint="eastAsia" w:ascii="宋体" w:hAnsi="宋体"/>
          <w:szCs w:val="21"/>
          <w:highlight w:val="none"/>
        </w:rPr>
        <w:t>49.1 承包人采购的材料和工程设备：</w:t>
      </w:r>
      <w:bookmarkEnd w:id="616"/>
      <w:bookmarkEnd w:id="617"/>
      <w:bookmarkEnd w:id="618"/>
      <w:bookmarkEnd w:id="619"/>
      <w:bookmarkEnd w:id="620"/>
      <w:bookmarkEnd w:id="621"/>
      <w:bookmarkEnd w:id="622"/>
      <w:r>
        <w:rPr>
          <w:rFonts w:hint="eastAsia" w:ascii="宋体" w:hAnsi="宋体"/>
          <w:b/>
          <w:szCs w:val="21"/>
          <w:highlight w:val="none"/>
        </w:rPr>
        <w:t>按合同通用条款的约定由承包人负责运输和保管。</w:t>
      </w:r>
      <w:bookmarkEnd w:id="623"/>
      <w:r>
        <w:rPr>
          <w:rFonts w:hint="eastAsia" w:ascii="宋体" w:hAnsi="宋体"/>
          <w:b/>
          <w:szCs w:val="21"/>
          <w:highlight w:val="none"/>
        </w:rPr>
        <w:t xml:space="preserve"> </w:t>
      </w:r>
    </w:p>
    <w:p w14:paraId="1C8EAA8D">
      <w:pPr>
        <w:spacing w:line="360" w:lineRule="auto"/>
        <w:rPr>
          <w:rFonts w:ascii="宋体" w:hAnsi="宋体"/>
          <w:szCs w:val="21"/>
          <w:highlight w:val="none"/>
        </w:rPr>
      </w:pPr>
      <w:r>
        <w:rPr>
          <w:rFonts w:hint="eastAsia" w:ascii="宋体" w:hAnsi="宋体"/>
          <w:szCs w:val="21"/>
          <w:highlight w:val="none"/>
        </w:rPr>
        <w:t>49.2 承包人供货与清点要求：</w:t>
      </w:r>
      <w:r>
        <w:rPr>
          <w:rFonts w:hint="eastAsia" w:ascii="宋体" w:hAnsi="宋体"/>
          <w:b/>
          <w:szCs w:val="21"/>
          <w:highlight w:val="none"/>
        </w:rPr>
        <w:t>承包人必须按招标文件第六章的材料明细表中列明的材料、设备要求或招标图纸要求，在施工中将选用的材料、设备品牌型号及设备配置的详细清单及样板报设计、监理、发包人审定后方可采购。否则，发包人对该材料、设备的费用将不予计量和结算，所造成的一切后果由承包人负责。承包人采购材料设备的其他要求：</w:t>
      </w:r>
    </w:p>
    <w:p w14:paraId="03356503">
      <w:pPr>
        <w:spacing w:line="360" w:lineRule="auto"/>
        <w:rPr>
          <w:rFonts w:ascii="宋体" w:hAnsi="宋体"/>
          <w:b/>
          <w:szCs w:val="21"/>
          <w:highlight w:val="none"/>
        </w:rPr>
      </w:pPr>
      <w:r>
        <w:rPr>
          <w:rFonts w:hint="eastAsia" w:ascii="宋体" w:hAnsi="宋体"/>
          <w:b/>
          <w:szCs w:val="21"/>
          <w:highlight w:val="none"/>
        </w:rPr>
        <w:t>（1）承包人购买的材料、设备必须符合设计和规范要求，必须向发包人提供厂家批号、出厂合格证、质量检验书等资料证明，发包人可随时对承包人所购买的材料、设备进行监督、检查。</w:t>
      </w:r>
    </w:p>
    <w:p w14:paraId="530319B7">
      <w:pPr>
        <w:spacing w:line="360" w:lineRule="auto"/>
        <w:rPr>
          <w:rFonts w:ascii="宋体" w:hAnsi="宋体"/>
          <w:b/>
          <w:szCs w:val="21"/>
          <w:highlight w:val="none"/>
        </w:rPr>
      </w:pPr>
      <w:r>
        <w:rPr>
          <w:rFonts w:hint="eastAsia" w:ascii="宋体" w:hAnsi="宋体"/>
          <w:b/>
          <w:szCs w:val="21"/>
          <w:highlight w:val="none"/>
        </w:rPr>
        <w:t>（2）根据市建设局要求，对招标工程实行“主材按定额进场验收”制度，要求承包人必须按招标图纸和施工技术标准施工，不得擅自修改工程设计，不得偷工减料，施工中每批进入工地的建筑材料、设备必须由监理工程师签字。</w:t>
      </w:r>
    </w:p>
    <w:p w14:paraId="24E3F71C">
      <w:pPr>
        <w:spacing w:line="360" w:lineRule="auto"/>
        <w:rPr>
          <w:rFonts w:ascii="宋体" w:hAnsi="宋体"/>
          <w:b/>
          <w:szCs w:val="21"/>
          <w:highlight w:val="none"/>
        </w:rPr>
      </w:pPr>
      <w:r>
        <w:rPr>
          <w:rFonts w:hint="eastAsia" w:ascii="宋体" w:hAnsi="宋体"/>
          <w:b/>
          <w:szCs w:val="21"/>
          <w:highlight w:val="none"/>
        </w:rPr>
        <w:t>（3）为保证工程质量，施工时甲方人员将随时抽样送有关单位检验，所涉及的费用由施工单位负责。</w:t>
      </w:r>
    </w:p>
    <w:p w14:paraId="583A5147">
      <w:pPr>
        <w:spacing w:line="360" w:lineRule="auto"/>
        <w:rPr>
          <w:rFonts w:ascii="宋体" w:hAnsi="宋体"/>
          <w:b/>
          <w:szCs w:val="21"/>
          <w:highlight w:val="none"/>
        </w:rPr>
      </w:pPr>
      <w:r>
        <w:rPr>
          <w:rFonts w:hint="eastAsia" w:ascii="宋体" w:hAnsi="宋体"/>
          <w:b/>
          <w:szCs w:val="21"/>
          <w:highlight w:val="none"/>
        </w:rPr>
        <w:t xml:space="preserve">（4）本工程对材料及设备的要求，若招标文件第八章的材料明细表、招标图纸、工程量清单所注明的要求不相同时，均以材料明细表为准；若招标图纸、工程量清单所注明的要求不相同时，则以招标图纸为准。 </w:t>
      </w:r>
    </w:p>
    <w:p w14:paraId="3AB3E473">
      <w:pPr>
        <w:spacing w:line="360" w:lineRule="auto"/>
        <w:rPr>
          <w:rFonts w:ascii="宋体" w:hAnsi="宋体"/>
          <w:b/>
          <w:szCs w:val="21"/>
          <w:highlight w:val="none"/>
        </w:rPr>
      </w:pPr>
      <w:r>
        <w:rPr>
          <w:rFonts w:hint="eastAsia" w:ascii="宋体" w:hAnsi="宋体"/>
          <w:b/>
          <w:szCs w:val="21"/>
          <w:highlight w:val="none"/>
        </w:rPr>
        <w:t>（5）材料设备明细表中部分材料虽注明不推荐品牌厂家，但所选用材料满足上述要求外，还须满足但不限于以下要求：①、国产名优品牌；②、符合国家或行业生产技术标准；③、符合设计及有关规范要求；④、符合《建筑工程质量检验评定标准》等。</w:t>
      </w:r>
    </w:p>
    <w:p w14:paraId="5CC2C839">
      <w:pPr>
        <w:spacing w:line="360" w:lineRule="auto"/>
        <w:rPr>
          <w:rFonts w:ascii="宋体" w:hAnsi="宋体"/>
          <w:b/>
          <w:szCs w:val="21"/>
          <w:highlight w:val="none"/>
        </w:rPr>
      </w:pPr>
      <w:r>
        <w:rPr>
          <w:rFonts w:hint="eastAsia" w:ascii="宋体" w:hAnsi="宋体"/>
          <w:b/>
          <w:szCs w:val="21"/>
          <w:highlight w:val="none"/>
        </w:rPr>
        <w:t>（6）石材类（含花岗岩等，如有）：①应符合国家建材行业标准JC205《天然花岗岩石建筑板材》的有关规定；②、承包人在石材墙饰面施工前，组织花纹、颜色的分类和选配工作，以达到同一面墙上的石材饰面具有统一和谐的外观效果；而同一范围内的同类石材饰面不得出现明显的色泽、纹理不协调或突兀的情况；石材色泽及纹理组合现场观察样板须经发包人和监理工程师批准才可施工；③、石材的表面必须进行防酸、防污处理及保护剂处理等；④、材料品种及验收标准按发包人封样的样品。</w:t>
      </w:r>
    </w:p>
    <w:p w14:paraId="6F3A8A2A">
      <w:pPr>
        <w:spacing w:line="360" w:lineRule="auto"/>
        <w:rPr>
          <w:rFonts w:ascii="宋体" w:hAnsi="宋体"/>
          <w:szCs w:val="21"/>
          <w:highlight w:val="none"/>
        </w:rPr>
      </w:pPr>
      <w:bookmarkStart w:id="624" w:name="_Toc1697"/>
      <w:bookmarkStart w:id="625" w:name="_Toc461980498"/>
      <w:bookmarkStart w:id="626" w:name="_Toc271290703"/>
      <w:bookmarkStart w:id="627" w:name="_Toc273290728"/>
      <w:bookmarkStart w:id="628" w:name="_Toc520715161"/>
      <w:bookmarkStart w:id="629" w:name="_Toc334014661"/>
      <w:bookmarkStart w:id="630" w:name="_Toc263775851"/>
      <w:bookmarkStart w:id="631" w:name="_Toc44235728"/>
      <w:r>
        <w:rPr>
          <w:rFonts w:hint="eastAsia" w:ascii="宋体" w:hAnsi="宋体"/>
          <w:szCs w:val="21"/>
          <w:highlight w:val="none"/>
        </w:rPr>
        <w:t>49.8  发包人指定的生产厂家或供应商：</w:t>
      </w:r>
      <w:bookmarkEnd w:id="624"/>
      <w:bookmarkEnd w:id="625"/>
      <w:bookmarkEnd w:id="626"/>
      <w:bookmarkEnd w:id="627"/>
      <w:bookmarkEnd w:id="628"/>
      <w:bookmarkEnd w:id="629"/>
      <w:bookmarkEnd w:id="630"/>
      <w:r>
        <w:rPr>
          <w:rFonts w:hint="eastAsia" w:ascii="宋体" w:hAnsi="宋体"/>
          <w:b/>
          <w:szCs w:val="21"/>
          <w:highlight w:val="none"/>
        </w:rPr>
        <w:t>无。</w:t>
      </w:r>
      <w:bookmarkEnd w:id="631"/>
    </w:p>
    <w:p w14:paraId="7A3FFBD7">
      <w:pPr>
        <w:pStyle w:val="6"/>
        <w:rPr>
          <w:highlight w:val="none"/>
        </w:rPr>
      </w:pPr>
      <w:bookmarkStart w:id="632" w:name="_Toc273290729"/>
      <w:bookmarkStart w:id="633" w:name="_Toc461980499"/>
      <w:bookmarkStart w:id="634" w:name="_Toc30638"/>
      <w:bookmarkStart w:id="635" w:name="_Toc254775534"/>
      <w:bookmarkStart w:id="636" w:name="_Toc271290704"/>
      <w:bookmarkStart w:id="637" w:name="_Toc520715162"/>
      <w:r>
        <w:rPr>
          <w:rFonts w:hint="eastAsia"/>
          <w:highlight w:val="none"/>
        </w:rPr>
        <w:t>50、</w:t>
      </w:r>
      <w:r>
        <w:rPr>
          <w:rFonts w:hint="eastAsia"/>
          <w:szCs w:val="24"/>
          <w:highlight w:val="none"/>
        </w:rPr>
        <w:t>材料和工程设备的检验试验</w:t>
      </w:r>
      <w:bookmarkEnd w:id="632"/>
      <w:bookmarkEnd w:id="633"/>
      <w:bookmarkEnd w:id="634"/>
      <w:bookmarkEnd w:id="635"/>
      <w:bookmarkEnd w:id="636"/>
      <w:bookmarkEnd w:id="637"/>
    </w:p>
    <w:p w14:paraId="1EE9812B">
      <w:pPr>
        <w:spacing w:line="360" w:lineRule="auto"/>
        <w:ind w:firstLine="420"/>
        <w:rPr>
          <w:rFonts w:ascii="宋体" w:hAnsi="宋体"/>
          <w:highlight w:val="none"/>
        </w:rPr>
      </w:pPr>
      <w:r>
        <w:rPr>
          <w:rFonts w:hint="eastAsia" w:ascii="宋体" w:hAnsi="宋体"/>
          <w:highlight w:val="none"/>
        </w:rPr>
        <w:t>50.2  材料和工程设备的检验试验时间和地点：</w:t>
      </w:r>
      <w:r>
        <w:rPr>
          <w:rFonts w:hint="eastAsia" w:ascii="宋体" w:hAnsi="宋体"/>
          <w:b/>
          <w:highlight w:val="none"/>
        </w:rPr>
        <w:t>由双方根据实际情况自行确定</w:t>
      </w:r>
      <w:r>
        <w:rPr>
          <w:rFonts w:hint="eastAsia" w:ascii="宋体" w:hAnsi="宋体"/>
          <w:highlight w:val="none"/>
        </w:rPr>
        <w:t>。</w:t>
      </w:r>
    </w:p>
    <w:p w14:paraId="7A09A5C1">
      <w:pPr>
        <w:pStyle w:val="6"/>
        <w:rPr>
          <w:highlight w:val="none"/>
        </w:rPr>
      </w:pPr>
      <w:bookmarkStart w:id="638" w:name="_Toc273290730"/>
      <w:bookmarkStart w:id="639" w:name="_Toc271290705"/>
      <w:bookmarkStart w:id="640" w:name="_Toc254775535"/>
      <w:bookmarkStart w:id="641" w:name="_Toc20427"/>
      <w:bookmarkStart w:id="642" w:name="_Toc461980500"/>
      <w:bookmarkStart w:id="643" w:name="_Toc520715163"/>
      <w:r>
        <w:rPr>
          <w:rFonts w:hint="eastAsia"/>
          <w:highlight w:val="none"/>
        </w:rPr>
        <w:t>51、</w:t>
      </w:r>
      <w:r>
        <w:rPr>
          <w:rFonts w:hint="eastAsia"/>
          <w:szCs w:val="24"/>
          <w:highlight w:val="none"/>
        </w:rPr>
        <w:t>施工设备和临时设施</w:t>
      </w:r>
      <w:bookmarkEnd w:id="638"/>
      <w:bookmarkEnd w:id="639"/>
      <w:bookmarkEnd w:id="640"/>
      <w:bookmarkEnd w:id="641"/>
      <w:bookmarkEnd w:id="642"/>
      <w:bookmarkEnd w:id="643"/>
    </w:p>
    <w:p w14:paraId="7EDE460A">
      <w:pPr>
        <w:spacing w:line="360" w:lineRule="auto"/>
        <w:rPr>
          <w:rFonts w:ascii="宋体" w:hAnsi="宋体"/>
          <w:b/>
          <w:highlight w:val="none"/>
        </w:rPr>
      </w:pPr>
      <w:r>
        <w:rPr>
          <w:rFonts w:hint="eastAsia" w:ascii="宋体" w:hAnsi="宋体"/>
          <w:highlight w:val="none"/>
        </w:rPr>
        <w:t xml:space="preserve">    </w:t>
      </w:r>
      <w:bookmarkStart w:id="644" w:name="_Toc273290731"/>
      <w:bookmarkStart w:id="645" w:name="_Toc271290706"/>
      <w:bookmarkStart w:id="646" w:name="_Toc17885"/>
      <w:bookmarkStart w:id="647" w:name="_Toc263775854"/>
      <w:bookmarkStart w:id="648" w:name="_Toc461980501"/>
      <w:bookmarkStart w:id="649" w:name="_Toc520715164"/>
      <w:bookmarkStart w:id="650" w:name="_Toc334014664"/>
      <w:bookmarkStart w:id="651" w:name="_Toc44235729"/>
      <w:r>
        <w:rPr>
          <w:rFonts w:hint="eastAsia" w:ascii="宋体" w:hAnsi="宋体"/>
          <w:highlight w:val="none"/>
        </w:rPr>
        <w:t>51.1  承包人修建临时设施和办理临时设施占地申请手续所需费用的约定：</w:t>
      </w:r>
      <w:bookmarkEnd w:id="644"/>
      <w:bookmarkEnd w:id="645"/>
      <w:bookmarkEnd w:id="646"/>
      <w:bookmarkEnd w:id="647"/>
      <w:bookmarkEnd w:id="648"/>
      <w:bookmarkEnd w:id="649"/>
      <w:bookmarkEnd w:id="650"/>
      <w:r>
        <w:rPr>
          <w:rFonts w:hint="eastAsia" w:ascii="宋体" w:hAnsi="宋体"/>
          <w:b/>
          <w:highlight w:val="none"/>
        </w:rPr>
        <w:t>承包人应自行承担修建临时设施的费用。需要临时占地的，由承包人办理其申请手续，发包人给予协助，相应费用由承包人承担。</w:t>
      </w:r>
      <w:bookmarkEnd w:id="651"/>
    </w:p>
    <w:p w14:paraId="390031B4">
      <w:pPr>
        <w:spacing w:line="360" w:lineRule="auto"/>
        <w:rPr>
          <w:rFonts w:ascii="宋体" w:hAnsi="宋体"/>
          <w:highlight w:val="none"/>
        </w:rPr>
      </w:pPr>
      <w:r>
        <w:rPr>
          <w:rFonts w:hint="eastAsia" w:ascii="宋体" w:hAnsi="宋体"/>
          <w:highlight w:val="none"/>
        </w:rPr>
        <w:t>51.2  发包人提供的施工设备和临时设施：无。</w:t>
      </w:r>
    </w:p>
    <w:p w14:paraId="08CDD865">
      <w:pPr>
        <w:spacing w:line="360" w:lineRule="auto"/>
        <w:rPr>
          <w:rFonts w:ascii="宋体" w:hAnsi="宋体"/>
          <w:highlight w:val="none"/>
        </w:rPr>
      </w:pPr>
      <w:bookmarkStart w:id="652" w:name="_Toc520715165"/>
      <w:bookmarkStart w:id="653" w:name="_Toc271290707"/>
      <w:bookmarkStart w:id="654" w:name="_Toc254775536"/>
      <w:bookmarkStart w:id="655" w:name="_Toc461980502"/>
      <w:bookmarkStart w:id="656" w:name="_Toc10203"/>
      <w:bookmarkStart w:id="657" w:name="_Toc273290732"/>
      <w:r>
        <w:rPr>
          <w:rFonts w:hint="eastAsia" w:ascii="宋体" w:hAnsi="宋体"/>
          <w:highlight w:val="none"/>
        </w:rPr>
        <w:t>53、隐蔽工程和中间验收</w:t>
      </w:r>
      <w:bookmarkEnd w:id="652"/>
      <w:bookmarkEnd w:id="653"/>
      <w:bookmarkEnd w:id="654"/>
      <w:bookmarkEnd w:id="655"/>
      <w:bookmarkEnd w:id="656"/>
      <w:bookmarkEnd w:id="657"/>
    </w:p>
    <w:p w14:paraId="0A53DA9E">
      <w:pPr>
        <w:spacing w:line="360" w:lineRule="auto"/>
        <w:rPr>
          <w:rFonts w:ascii="宋体" w:hAnsi="宋体"/>
          <w:b/>
          <w:szCs w:val="21"/>
          <w:highlight w:val="none"/>
        </w:rPr>
      </w:pPr>
      <w:r>
        <w:rPr>
          <w:rFonts w:hint="eastAsia" w:ascii="宋体" w:hAnsi="宋体"/>
          <w:szCs w:val="21"/>
          <w:highlight w:val="none"/>
        </w:rPr>
        <w:t>53.1  中间验收部位包括：</w:t>
      </w:r>
      <w:r>
        <w:rPr>
          <w:rFonts w:hint="eastAsia" w:ascii="宋体" w:hAnsi="宋体"/>
          <w:b/>
          <w:szCs w:val="21"/>
          <w:highlight w:val="none"/>
        </w:rPr>
        <w:t>按规定需要进行中间验收的部位。中间验收部位的验收条件：达到本合同第42条约定的质量标准。</w:t>
      </w:r>
    </w:p>
    <w:p w14:paraId="7A569D66">
      <w:pPr>
        <w:pStyle w:val="6"/>
        <w:rPr>
          <w:szCs w:val="24"/>
          <w:highlight w:val="none"/>
        </w:rPr>
      </w:pPr>
      <w:bookmarkStart w:id="658" w:name="_Toc254775537"/>
      <w:bookmarkStart w:id="659" w:name="_Toc520715166"/>
      <w:bookmarkStart w:id="660" w:name="_Toc461980503"/>
      <w:bookmarkStart w:id="661" w:name="_Toc273290733"/>
      <w:bookmarkStart w:id="662" w:name="_Toc271290708"/>
      <w:bookmarkStart w:id="663" w:name="_Toc14067"/>
      <w:r>
        <w:rPr>
          <w:rFonts w:hint="eastAsia"/>
          <w:szCs w:val="24"/>
          <w:highlight w:val="none"/>
        </w:rPr>
        <w:t>55、工程试车</w:t>
      </w:r>
      <w:bookmarkEnd w:id="658"/>
      <w:bookmarkEnd w:id="659"/>
      <w:bookmarkEnd w:id="660"/>
      <w:bookmarkEnd w:id="661"/>
      <w:bookmarkEnd w:id="662"/>
      <w:bookmarkEnd w:id="663"/>
    </w:p>
    <w:p w14:paraId="2BEA7292">
      <w:pPr>
        <w:spacing w:line="360" w:lineRule="auto"/>
        <w:rPr>
          <w:rFonts w:ascii="宋体" w:hAnsi="宋体"/>
          <w:szCs w:val="21"/>
          <w:highlight w:val="none"/>
        </w:rPr>
      </w:pPr>
      <w:r>
        <w:rPr>
          <w:rFonts w:hint="eastAsia" w:ascii="宋体" w:hAnsi="宋体"/>
          <w:szCs w:val="21"/>
          <w:highlight w:val="none"/>
        </w:rPr>
        <w:t>55.1  是否需要试车</w:t>
      </w:r>
    </w:p>
    <w:p w14:paraId="0AC0C643">
      <w:pPr>
        <w:spacing w:line="360" w:lineRule="auto"/>
        <w:rPr>
          <w:rFonts w:ascii="宋体" w:hAnsi="宋体"/>
          <w:szCs w:val="21"/>
          <w:highlight w:val="none"/>
        </w:rPr>
      </w:pPr>
      <w:r>
        <w:rPr>
          <w:rFonts w:hint="eastAsia" w:ascii="宋体" w:hAnsi="宋体"/>
          <w:szCs w:val="21"/>
          <w:highlight w:val="none"/>
        </w:rPr>
        <w:t>■  不需要试车的，本条不适用。</w:t>
      </w:r>
    </w:p>
    <w:p w14:paraId="5472CA7E">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需要试车的，试车的内容及要求：</w:t>
      </w:r>
    </w:p>
    <w:p w14:paraId="38D5C364">
      <w:pPr>
        <w:pStyle w:val="6"/>
        <w:rPr>
          <w:highlight w:val="none"/>
        </w:rPr>
      </w:pPr>
      <w:bookmarkStart w:id="664" w:name="_Toc271290709"/>
      <w:bookmarkStart w:id="665" w:name="_Toc273290734"/>
      <w:bookmarkStart w:id="666" w:name="_Toc9571"/>
      <w:bookmarkStart w:id="667" w:name="_Toc254775538"/>
      <w:bookmarkStart w:id="668" w:name="_Toc520715167"/>
      <w:bookmarkStart w:id="669" w:name="_Toc461980504"/>
      <w:r>
        <w:rPr>
          <w:rFonts w:hint="eastAsia"/>
          <w:highlight w:val="none"/>
        </w:rPr>
        <w:t>56、工程变更</w:t>
      </w:r>
      <w:bookmarkEnd w:id="664"/>
      <w:bookmarkEnd w:id="665"/>
      <w:bookmarkEnd w:id="666"/>
      <w:bookmarkEnd w:id="667"/>
      <w:bookmarkEnd w:id="668"/>
      <w:bookmarkEnd w:id="669"/>
    </w:p>
    <w:p w14:paraId="21FD57DF">
      <w:pPr>
        <w:spacing w:line="360" w:lineRule="auto"/>
        <w:rPr>
          <w:rFonts w:ascii="宋体" w:hAnsi="宋体"/>
          <w:szCs w:val="21"/>
          <w:highlight w:val="none"/>
        </w:rPr>
      </w:pPr>
      <w:r>
        <w:rPr>
          <w:rFonts w:hint="eastAsia" w:ascii="宋体" w:hAnsi="宋体"/>
          <w:szCs w:val="21"/>
          <w:highlight w:val="none"/>
        </w:rPr>
        <w:t xml:space="preserve"> 56.4  承包人提出合理建议应得的奖励：本工程不设奖励。</w:t>
      </w:r>
    </w:p>
    <w:p w14:paraId="27EAD1AD">
      <w:pPr>
        <w:spacing w:line="360" w:lineRule="auto"/>
        <w:rPr>
          <w:rFonts w:ascii="宋体" w:hAnsi="宋体"/>
          <w:szCs w:val="21"/>
          <w:highlight w:val="none"/>
        </w:rPr>
      </w:pPr>
      <w:r>
        <w:rPr>
          <w:rFonts w:hint="eastAsia" w:ascii="宋体" w:hAnsi="宋体"/>
          <w:szCs w:val="21"/>
          <w:highlight w:val="none"/>
        </w:rPr>
        <w:t>本条文末增加第56.6款：</w:t>
      </w:r>
    </w:p>
    <w:p w14:paraId="100351C7">
      <w:pPr>
        <w:spacing w:line="360" w:lineRule="auto"/>
        <w:rPr>
          <w:rFonts w:ascii="宋体" w:hAnsi="宋体"/>
          <w:szCs w:val="21"/>
          <w:highlight w:val="none"/>
        </w:rPr>
      </w:pPr>
      <w:r>
        <w:rPr>
          <w:rFonts w:hint="eastAsia" w:ascii="宋体" w:hAnsi="宋体"/>
          <w:szCs w:val="21"/>
          <w:highlight w:val="none"/>
        </w:rPr>
        <w:t>56.6  合同内设计变更工程是合同承包范围不可分割的一部分，承包人应按发包人提供的变更工程设计图纸及监理人发出的变更指令完成施工。</w:t>
      </w:r>
    </w:p>
    <w:p w14:paraId="07B1C88E">
      <w:pPr>
        <w:pStyle w:val="6"/>
        <w:rPr>
          <w:szCs w:val="24"/>
          <w:highlight w:val="none"/>
        </w:rPr>
      </w:pPr>
      <w:bookmarkStart w:id="670" w:name="_Toc5653"/>
      <w:bookmarkStart w:id="671" w:name="_Toc273290735"/>
      <w:bookmarkStart w:id="672" w:name="_Toc520715168"/>
      <w:bookmarkStart w:id="673" w:name="_Toc461980505"/>
      <w:bookmarkStart w:id="674" w:name="_Toc271290710"/>
      <w:bookmarkStart w:id="675" w:name="_Toc254775539"/>
      <w:r>
        <w:rPr>
          <w:rFonts w:hint="eastAsia"/>
          <w:szCs w:val="24"/>
          <w:highlight w:val="none"/>
        </w:rPr>
        <w:t>58、竣工验收</w:t>
      </w:r>
      <w:bookmarkEnd w:id="670"/>
      <w:bookmarkEnd w:id="671"/>
      <w:bookmarkEnd w:id="672"/>
      <w:bookmarkEnd w:id="673"/>
      <w:bookmarkEnd w:id="674"/>
      <w:bookmarkEnd w:id="675"/>
    </w:p>
    <w:p w14:paraId="729FE68A">
      <w:pPr>
        <w:spacing w:line="360" w:lineRule="auto"/>
        <w:rPr>
          <w:rFonts w:ascii="宋体" w:hAnsi="宋体"/>
          <w:szCs w:val="21"/>
          <w:highlight w:val="none"/>
        </w:rPr>
      </w:pPr>
      <w:bookmarkStart w:id="676" w:name="_Toc259494191"/>
      <w:bookmarkStart w:id="677" w:name="_Toc283188324"/>
      <w:bookmarkStart w:id="678" w:name="_Toc279710384"/>
      <w:bookmarkStart w:id="679" w:name="_Toc404592984"/>
      <w:bookmarkStart w:id="680" w:name="_Toc44235730"/>
      <w:bookmarkStart w:id="681" w:name="_Toc404592624"/>
      <w:r>
        <w:rPr>
          <w:rFonts w:hint="eastAsia" w:ascii="宋体" w:hAnsi="宋体"/>
          <w:szCs w:val="21"/>
          <w:highlight w:val="none"/>
        </w:rPr>
        <w:t>58.10 单位工程和工程部位的验收</w:t>
      </w:r>
      <w:bookmarkEnd w:id="676"/>
      <w:bookmarkEnd w:id="677"/>
      <w:bookmarkEnd w:id="678"/>
      <w:bookmarkEnd w:id="679"/>
      <w:bookmarkEnd w:id="680"/>
      <w:bookmarkEnd w:id="681"/>
    </w:p>
    <w:p w14:paraId="51C8AC27">
      <w:pPr>
        <w:spacing w:line="360" w:lineRule="auto"/>
        <w:rPr>
          <w:rFonts w:ascii="宋体" w:hAnsi="宋体"/>
          <w:szCs w:val="21"/>
          <w:highlight w:val="none"/>
        </w:rPr>
      </w:pPr>
      <w:r>
        <w:rPr>
          <w:rFonts w:hint="eastAsia" w:ascii="宋体" w:hAnsi="宋体"/>
          <w:szCs w:val="21"/>
          <w:highlight w:val="none"/>
        </w:rPr>
        <w:t>■  合同工程无单位工程和工程部位的验收的，本款不适用。</w:t>
      </w:r>
    </w:p>
    <w:p w14:paraId="39615280">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合同工程有单位工程和工程部位的验收的，各单位工程和工程部位的范围、计划竣工时间如下：</w:t>
      </w:r>
    </w:p>
    <w:p w14:paraId="6A422CE4">
      <w:pPr>
        <w:spacing w:line="360" w:lineRule="auto"/>
        <w:rPr>
          <w:rFonts w:ascii="宋体" w:hAnsi="宋体"/>
          <w:szCs w:val="21"/>
          <w:highlight w:val="none"/>
        </w:rPr>
      </w:pPr>
      <w:r>
        <w:rPr>
          <w:rFonts w:hint="eastAsia" w:ascii="宋体" w:hAnsi="宋体"/>
          <w:szCs w:val="21"/>
          <w:highlight w:val="none"/>
        </w:rPr>
        <w:t>(1)</w:t>
      </w:r>
      <w:r>
        <w:rPr>
          <w:rFonts w:hint="eastAsia" w:ascii="宋体" w:hAnsi="宋体"/>
          <w:szCs w:val="21"/>
          <w:highlight w:val="none"/>
          <w:u w:val="single"/>
        </w:rPr>
        <w:t xml:space="preserve">                    </w:t>
      </w:r>
      <w:r>
        <w:rPr>
          <w:rFonts w:hint="eastAsia" w:ascii="宋体" w:hAnsi="宋体"/>
          <w:szCs w:val="21"/>
          <w:highlight w:val="none"/>
        </w:rPr>
        <w:t>（工程名称）工程，计划竣工时间</w:t>
      </w:r>
      <w:r>
        <w:rPr>
          <w:rFonts w:hint="eastAsia" w:ascii="宋体" w:hAnsi="宋体"/>
          <w:szCs w:val="21"/>
          <w:highlight w:val="none"/>
          <w:u w:val="single"/>
        </w:rPr>
        <w:t xml:space="preserve">                        </w:t>
      </w:r>
      <w:r>
        <w:rPr>
          <w:rFonts w:hint="eastAsia" w:ascii="宋体" w:hAnsi="宋体"/>
          <w:szCs w:val="21"/>
          <w:highlight w:val="none"/>
        </w:rPr>
        <w:t>，其范围包括：</w:t>
      </w:r>
    </w:p>
    <w:p w14:paraId="12641327">
      <w:pPr>
        <w:spacing w:line="360" w:lineRule="auto"/>
        <w:rPr>
          <w:rFonts w:ascii="宋体" w:hAnsi="宋体"/>
          <w:szCs w:val="21"/>
          <w:highlight w:val="none"/>
        </w:rPr>
      </w:pPr>
      <w:r>
        <w:rPr>
          <w:rFonts w:hint="eastAsia" w:ascii="宋体" w:hAnsi="宋体"/>
          <w:szCs w:val="21"/>
          <w:highlight w:val="none"/>
        </w:rPr>
        <w:t>(2)</w:t>
      </w:r>
      <w:r>
        <w:rPr>
          <w:rFonts w:hint="eastAsia" w:ascii="宋体" w:hAnsi="宋体"/>
          <w:szCs w:val="21"/>
          <w:highlight w:val="none"/>
          <w:u w:val="single"/>
        </w:rPr>
        <w:t xml:space="preserve">                    </w:t>
      </w:r>
      <w:r>
        <w:rPr>
          <w:rFonts w:hint="eastAsia" w:ascii="宋体" w:hAnsi="宋体"/>
          <w:szCs w:val="21"/>
          <w:highlight w:val="none"/>
        </w:rPr>
        <w:t>（工程名称）工程，计划竣工时间</w:t>
      </w:r>
      <w:r>
        <w:rPr>
          <w:rFonts w:hint="eastAsia" w:ascii="宋体" w:hAnsi="宋体"/>
          <w:szCs w:val="21"/>
          <w:highlight w:val="none"/>
          <w:u w:val="single"/>
        </w:rPr>
        <w:t xml:space="preserve">                       </w:t>
      </w:r>
      <w:r>
        <w:rPr>
          <w:rFonts w:hint="eastAsia" w:ascii="宋体" w:hAnsi="宋体"/>
          <w:szCs w:val="21"/>
          <w:highlight w:val="none"/>
        </w:rPr>
        <w:t>，其范围包括：</w:t>
      </w:r>
    </w:p>
    <w:p w14:paraId="778E0BFB">
      <w:pPr>
        <w:spacing w:line="360" w:lineRule="auto"/>
        <w:rPr>
          <w:rFonts w:ascii="宋体" w:hAnsi="宋体"/>
          <w:szCs w:val="21"/>
          <w:highlight w:val="none"/>
        </w:rPr>
      </w:pPr>
      <w:bookmarkStart w:id="682" w:name="_Toc44235731"/>
      <w:bookmarkStart w:id="683" w:name="_Toc279710385"/>
      <w:bookmarkStart w:id="684" w:name="_Toc283188325"/>
      <w:bookmarkStart w:id="685" w:name="_Toc259494192"/>
      <w:bookmarkStart w:id="686" w:name="_Toc404592625"/>
      <w:bookmarkStart w:id="687" w:name="_Toc404592985"/>
      <w:r>
        <w:rPr>
          <w:rFonts w:hint="eastAsia" w:ascii="宋体" w:hAnsi="宋体"/>
          <w:szCs w:val="21"/>
          <w:highlight w:val="none"/>
        </w:rPr>
        <w:t>58.11  合同工程需在施工期运行的约定：</w:t>
      </w:r>
      <w:r>
        <w:rPr>
          <w:rFonts w:hint="eastAsia" w:ascii="宋体" w:hAnsi="宋体"/>
          <w:b/>
          <w:szCs w:val="21"/>
          <w:highlight w:val="none"/>
        </w:rPr>
        <w:t>无</w:t>
      </w:r>
      <w:r>
        <w:rPr>
          <w:rFonts w:hint="eastAsia" w:ascii="宋体" w:hAnsi="宋体"/>
          <w:szCs w:val="21"/>
          <w:highlight w:val="none"/>
        </w:rPr>
        <w:t>。</w:t>
      </w:r>
      <w:bookmarkEnd w:id="682"/>
      <w:bookmarkEnd w:id="683"/>
      <w:bookmarkEnd w:id="684"/>
      <w:bookmarkEnd w:id="685"/>
      <w:bookmarkEnd w:id="686"/>
      <w:bookmarkEnd w:id="687"/>
    </w:p>
    <w:p w14:paraId="549AA52F">
      <w:pPr>
        <w:spacing w:line="360" w:lineRule="auto"/>
        <w:rPr>
          <w:rFonts w:ascii="宋体" w:hAnsi="宋体"/>
          <w:szCs w:val="21"/>
          <w:highlight w:val="none"/>
        </w:rPr>
      </w:pPr>
      <w:bookmarkStart w:id="688" w:name="_Toc263775861"/>
      <w:bookmarkStart w:id="689" w:name="_Toc461980508"/>
      <w:bookmarkStart w:id="690" w:name="_Toc28451"/>
      <w:bookmarkStart w:id="691" w:name="_Toc273290738"/>
      <w:bookmarkStart w:id="692" w:name="_Toc334014671"/>
      <w:bookmarkStart w:id="693" w:name="_Toc44235732"/>
      <w:bookmarkStart w:id="694" w:name="_Toc271290713"/>
      <w:bookmarkStart w:id="695" w:name="_Toc520715171"/>
      <w:r>
        <w:rPr>
          <w:rFonts w:hint="eastAsia" w:ascii="宋体" w:hAnsi="宋体"/>
          <w:szCs w:val="21"/>
          <w:highlight w:val="none"/>
        </w:rPr>
        <w:t>58.12  竣工清场及相关费用的约定：按合同通用条款的约定执行。</w:t>
      </w:r>
      <w:bookmarkEnd w:id="688"/>
      <w:bookmarkEnd w:id="689"/>
      <w:bookmarkEnd w:id="690"/>
      <w:bookmarkEnd w:id="691"/>
      <w:bookmarkEnd w:id="692"/>
      <w:bookmarkEnd w:id="693"/>
      <w:bookmarkEnd w:id="694"/>
      <w:bookmarkEnd w:id="695"/>
      <w:r>
        <w:rPr>
          <w:rFonts w:hint="eastAsia" w:ascii="宋体" w:hAnsi="宋体"/>
          <w:szCs w:val="21"/>
          <w:highlight w:val="none"/>
        </w:rPr>
        <w:t xml:space="preserve"> </w:t>
      </w:r>
    </w:p>
    <w:p w14:paraId="65B1AFC6">
      <w:pPr>
        <w:spacing w:line="360" w:lineRule="auto"/>
        <w:rPr>
          <w:rFonts w:ascii="宋体" w:hAnsi="宋体"/>
          <w:szCs w:val="21"/>
          <w:highlight w:val="none"/>
        </w:rPr>
      </w:pPr>
      <w:bookmarkStart w:id="696" w:name="_Toc271290714"/>
      <w:bookmarkStart w:id="697" w:name="_Toc273290739"/>
      <w:bookmarkStart w:id="698" w:name="_Toc263775862"/>
      <w:bookmarkStart w:id="699" w:name="_Toc461980509"/>
      <w:bookmarkStart w:id="700" w:name="_Toc44235733"/>
      <w:bookmarkStart w:id="701" w:name="_Toc520715172"/>
      <w:bookmarkStart w:id="702" w:name="_Toc6053"/>
      <w:bookmarkStart w:id="703" w:name="_Toc334014672"/>
      <w:r>
        <w:rPr>
          <w:rFonts w:hint="eastAsia" w:ascii="宋体" w:hAnsi="宋体"/>
          <w:szCs w:val="21"/>
          <w:highlight w:val="none"/>
        </w:rPr>
        <w:t>58.13  缺陷责任期满时施工队伍撤离的约定：按合同通用条款的约定执行。</w:t>
      </w:r>
      <w:bookmarkEnd w:id="696"/>
      <w:bookmarkEnd w:id="697"/>
      <w:bookmarkEnd w:id="698"/>
      <w:bookmarkEnd w:id="699"/>
      <w:bookmarkEnd w:id="700"/>
      <w:bookmarkEnd w:id="701"/>
      <w:bookmarkEnd w:id="702"/>
      <w:bookmarkEnd w:id="703"/>
    </w:p>
    <w:p w14:paraId="2128C183">
      <w:pPr>
        <w:pStyle w:val="6"/>
        <w:rPr>
          <w:szCs w:val="24"/>
          <w:highlight w:val="none"/>
        </w:rPr>
      </w:pPr>
      <w:bookmarkStart w:id="704" w:name="_Toc273290740"/>
      <w:bookmarkStart w:id="705" w:name="_Toc21387"/>
      <w:bookmarkStart w:id="706" w:name="_Toc271290715"/>
      <w:bookmarkStart w:id="707" w:name="_Toc520715173"/>
      <w:bookmarkStart w:id="708" w:name="_Toc254775540"/>
      <w:bookmarkStart w:id="709" w:name="_Toc461980510"/>
      <w:r>
        <w:rPr>
          <w:rFonts w:hint="eastAsia"/>
          <w:szCs w:val="24"/>
          <w:highlight w:val="none"/>
        </w:rPr>
        <w:t>59、缺陷责任与质量保修</w:t>
      </w:r>
      <w:bookmarkEnd w:id="704"/>
      <w:bookmarkEnd w:id="705"/>
      <w:bookmarkEnd w:id="706"/>
      <w:bookmarkEnd w:id="707"/>
      <w:bookmarkEnd w:id="708"/>
      <w:bookmarkEnd w:id="709"/>
    </w:p>
    <w:p w14:paraId="6AD55265">
      <w:pPr>
        <w:spacing w:line="360" w:lineRule="auto"/>
        <w:rPr>
          <w:rFonts w:ascii="宋体" w:hAnsi="宋体"/>
          <w:szCs w:val="21"/>
          <w:highlight w:val="none"/>
        </w:rPr>
      </w:pPr>
      <w:r>
        <w:rPr>
          <w:rFonts w:hint="eastAsia" w:ascii="宋体" w:hAnsi="宋体"/>
          <w:szCs w:val="21"/>
          <w:highlight w:val="none"/>
        </w:rPr>
        <w:t>59.6  缺陷责任期的约定：本工程缺陷责任期为</w:t>
      </w:r>
      <w:r>
        <w:rPr>
          <w:rFonts w:hint="eastAsia" w:ascii="宋体" w:hAnsi="宋体"/>
          <w:szCs w:val="21"/>
          <w:highlight w:val="none"/>
          <w:u w:val="single"/>
        </w:rPr>
        <w:t xml:space="preserve">  2  </w:t>
      </w:r>
      <w:r>
        <w:rPr>
          <w:rFonts w:hint="eastAsia" w:ascii="宋体" w:hAnsi="宋体"/>
          <w:szCs w:val="21"/>
          <w:highlight w:val="none"/>
        </w:rPr>
        <w:t>年。</w:t>
      </w:r>
    </w:p>
    <w:p w14:paraId="1619307F">
      <w:pPr>
        <w:spacing w:line="360" w:lineRule="auto"/>
        <w:rPr>
          <w:rFonts w:ascii="宋体" w:hAnsi="宋体"/>
          <w:szCs w:val="21"/>
          <w:highlight w:val="none"/>
        </w:rPr>
      </w:pPr>
      <w:r>
        <w:rPr>
          <w:rFonts w:hint="eastAsia" w:ascii="宋体" w:hAnsi="宋体"/>
          <w:szCs w:val="21"/>
          <w:highlight w:val="none"/>
        </w:rPr>
        <w:t>59.8  工程质量保修的约定：</w:t>
      </w:r>
      <w:r>
        <w:rPr>
          <w:rFonts w:hint="eastAsia" w:ascii="宋体" w:hAnsi="宋体"/>
          <w:b/>
          <w:szCs w:val="21"/>
          <w:highlight w:val="none"/>
        </w:rPr>
        <w:t>按本合同附件《工程质量保修书》的约定执行；</w:t>
      </w:r>
    </w:p>
    <w:p w14:paraId="67C134B5">
      <w:pPr>
        <w:pStyle w:val="6"/>
        <w:rPr>
          <w:szCs w:val="24"/>
          <w:highlight w:val="none"/>
        </w:rPr>
      </w:pPr>
      <w:bookmarkStart w:id="710" w:name="_Toc461980511"/>
      <w:bookmarkStart w:id="711" w:name="_Toc16198"/>
      <w:bookmarkStart w:id="712" w:name="_Toc520715174"/>
      <w:bookmarkStart w:id="713" w:name="_Toc271290716"/>
      <w:bookmarkStart w:id="714" w:name="_Toc273290741"/>
      <w:r>
        <w:rPr>
          <w:rFonts w:hint="eastAsia"/>
          <w:szCs w:val="24"/>
          <w:highlight w:val="none"/>
        </w:rPr>
        <w:t>61、工程量</w:t>
      </w:r>
      <w:bookmarkEnd w:id="710"/>
      <w:bookmarkEnd w:id="711"/>
      <w:bookmarkEnd w:id="712"/>
      <w:bookmarkEnd w:id="713"/>
      <w:bookmarkEnd w:id="714"/>
    </w:p>
    <w:p w14:paraId="2241FE59">
      <w:pPr>
        <w:spacing w:line="360" w:lineRule="auto"/>
        <w:rPr>
          <w:rFonts w:ascii="宋体" w:hAnsi="宋体"/>
          <w:szCs w:val="21"/>
          <w:highlight w:val="none"/>
        </w:rPr>
      </w:pPr>
      <w:bookmarkStart w:id="715" w:name="_Toc283188328"/>
      <w:bookmarkStart w:id="716" w:name="_Toc259494195"/>
      <w:bookmarkStart w:id="717" w:name="_Toc404592628"/>
      <w:bookmarkStart w:id="718" w:name="_Toc404592988"/>
      <w:bookmarkStart w:id="719" w:name="_Toc279710388"/>
      <w:r>
        <w:rPr>
          <w:rFonts w:hint="eastAsia" w:ascii="宋体" w:hAnsi="宋体"/>
          <w:szCs w:val="21"/>
          <w:highlight w:val="none"/>
        </w:rPr>
        <w:t>61.1  清单工程量包括的工作内容</w:t>
      </w:r>
      <w:bookmarkEnd w:id="715"/>
      <w:bookmarkEnd w:id="716"/>
      <w:bookmarkEnd w:id="717"/>
      <w:bookmarkEnd w:id="718"/>
      <w:bookmarkEnd w:id="719"/>
    </w:p>
    <w:p w14:paraId="1C66A7F2">
      <w:pPr>
        <w:spacing w:line="360" w:lineRule="auto"/>
        <w:rPr>
          <w:rFonts w:ascii="宋体" w:hAnsi="宋体"/>
          <w:szCs w:val="21"/>
          <w:highlight w:val="none"/>
        </w:rPr>
      </w:pPr>
      <w:r>
        <w:rPr>
          <w:rFonts w:hint="eastAsia" w:ascii="宋体" w:hAnsi="宋体"/>
          <w:szCs w:val="21"/>
          <w:highlight w:val="none"/>
        </w:rPr>
        <w:t>本款更改为：</w:t>
      </w:r>
    </w:p>
    <w:p w14:paraId="16552DDE">
      <w:pPr>
        <w:spacing w:line="360" w:lineRule="auto"/>
        <w:rPr>
          <w:rFonts w:ascii="宋体" w:hAnsi="宋体"/>
          <w:b/>
          <w:szCs w:val="21"/>
          <w:highlight w:val="none"/>
        </w:rPr>
      </w:pPr>
      <w:r>
        <w:rPr>
          <w:rFonts w:hint="eastAsia" w:ascii="宋体" w:hAnsi="宋体"/>
          <w:b/>
          <w:szCs w:val="21"/>
          <w:highlight w:val="none"/>
        </w:rPr>
        <w:t>工程量清单中开列的工程量应包括由承包人完成施工、安装等工作内容，其任何遗漏或错误既不能使合同无效，也不能免除承包人按照图纸、标准与规范实施合同工程的任何责任。对于依据图纸、标准与规范应在工程量清单中计量但未计量的工作（即缺项漏项或工程量偏差），将按本合同专用条款第68.2款的约定予以调整合同价款或不予调整。若约定可调整合同价款，其调整的条件和方法按合同专用条款第71条和第73条中的约定执行。</w:t>
      </w:r>
    </w:p>
    <w:p w14:paraId="39C05FC2">
      <w:pPr>
        <w:spacing w:line="360" w:lineRule="auto"/>
        <w:rPr>
          <w:rFonts w:ascii="宋体" w:hAnsi="宋体"/>
          <w:szCs w:val="21"/>
          <w:highlight w:val="none"/>
        </w:rPr>
      </w:pPr>
      <w:r>
        <w:rPr>
          <w:rFonts w:hint="eastAsia" w:ascii="宋体" w:hAnsi="宋体"/>
          <w:szCs w:val="21"/>
          <w:highlight w:val="none"/>
        </w:rPr>
        <w:t>61.2  清单的工程量</w:t>
      </w:r>
    </w:p>
    <w:p w14:paraId="0E457880">
      <w:pPr>
        <w:spacing w:line="360" w:lineRule="auto"/>
        <w:rPr>
          <w:rFonts w:ascii="宋体" w:hAnsi="宋体"/>
          <w:szCs w:val="21"/>
          <w:highlight w:val="none"/>
        </w:rPr>
      </w:pPr>
      <w:r>
        <w:rPr>
          <w:rFonts w:hint="eastAsia" w:ascii="宋体" w:hAnsi="宋体"/>
          <w:szCs w:val="21"/>
          <w:highlight w:val="none"/>
        </w:rPr>
        <w:t>本款更改为：</w:t>
      </w:r>
    </w:p>
    <w:p w14:paraId="69453F07">
      <w:pPr>
        <w:spacing w:line="360" w:lineRule="auto"/>
        <w:rPr>
          <w:rFonts w:ascii="宋体" w:hAnsi="宋体"/>
          <w:b/>
          <w:szCs w:val="21"/>
          <w:highlight w:val="none"/>
        </w:rPr>
      </w:pPr>
      <w:r>
        <w:rPr>
          <w:rFonts w:hint="eastAsia" w:ascii="宋体" w:hAnsi="宋体"/>
          <w:b/>
          <w:szCs w:val="21"/>
          <w:highlight w:val="none"/>
        </w:rPr>
        <w:t>工程量清单中开列的工程量是根据合同工程施工设计图纸提供的预计工程量，不能作为承包人履行合同义务中应予完成合同工程的实际和准确工程量。承包人应按施工设计图纸（含设计变更）完成所有合同工程内容。发包人应按本合同第68条和第78条的规定向承包人支付工程价款。</w:t>
      </w:r>
    </w:p>
    <w:p w14:paraId="01EF7F6D">
      <w:pPr>
        <w:spacing w:line="360" w:lineRule="auto"/>
        <w:rPr>
          <w:rFonts w:ascii="宋体" w:hAnsi="宋体"/>
          <w:szCs w:val="21"/>
          <w:highlight w:val="none"/>
        </w:rPr>
      </w:pPr>
    </w:p>
    <w:p w14:paraId="1172343D">
      <w:pPr>
        <w:pStyle w:val="6"/>
        <w:rPr>
          <w:szCs w:val="24"/>
          <w:highlight w:val="none"/>
        </w:rPr>
      </w:pPr>
      <w:bookmarkStart w:id="720" w:name="_Toc273290744"/>
      <w:bookmarkStart w:id="721" w:name="_Toc461980514"/>
      <w:bookmarkStart w:id="722" w:name="_Toc271290719"/>
      <w:bookmarkStart w:id="723" w:name="_Toc520715177"/>
      <w:bookmarkStart w:id="724" w:name="_Toc14940"/>
      <w:r>
        <w:rPr>
          <w:rFonts w:hint="eastAsia"/>
          <w:szCs w:val="24"/>
          <w:highlight w:val="none"/>
        </w:rPr>
        <w:t>62、工程计量和计价</w:t>
      </w:r>
      <w:bookmarkEnd w:id="720"/>
      <w:bookmarkEnd w:id="721"/>
      <w:bookmarkEnd w:id="722"/>
      <w:bookmarkEnd w:id="723"/>
      <w:bookmarkEnd w:id="724"/>
    </w:p>
    <w:p w14:paraId="1BF191AB">
      <w:pPr>
        <w:spacing w:line="360" w:lineRule="auto"/>
        <w:rPr>
          <w:rFonts w:ascii="宋体" w:hAnsi="宋体"/>
          <w:szCs w:val="21"/>
          <w:highlight w:val="none"/>
        </w:rPr>
      </w:pPr>
      <w:bookmarkStart w:id="725" w:name="_Toc404592990"/>
      <w:bookmarkStart w:id="726" w:name="_Toc283188330"/>
      <w:bookmarkStart w:id="727" w:name="_Toc279710390"/>
      <w:bookmarkStart w:id="728" w:name="_Toc404592630"/>
      <w:r>
        <w:rPr>
          <w:rFonts w:hint="eastAsia" w:ascii="宋体" w:hAnsi="宋体"/>
          <w:szCs w:val="21"/>
          <w:highlight w:val="none"/>
        </w:rPr>
        <w:t>62.7 本款更改为：</w:t>
      </w:r>
      <w:bookmarkEnd w:id="725"/>
      <w:bookmarkEnd w:id="726"/>
      <w:bookmarkEnd w:id="727"/>
      <w:bookmarkEnd w:id="728"/>
      <w:r>
        <w:rPr>
          <w:rFonts w:hint="eastAsia" w:ascii="宋体" w:hAnsi="宋体"/>
          <w:szCs w:val="21"/>
          <w:highlight w:val="none"/>
        </w:rPr>
        <w:t xml:space="preserve"> </w:t>
      </w:r>
    </w:p>
    <w:p w14:paraId="7C3FA4E8">
      <w:pPr>
        <w:spacing w:line="360" w:lineRule="auto"/>
        <w:rPr>
          <w:rFonts w:ascii="宋体" w:hAnsi="宋体"/>
          <w:b/>
          <w:szCs w:val="21"/>
          <w:highlight w:val="none"/>
        </w:rPr>
      </w:pPr>
      <w:r>
        <w:rPr>
          <w:rFonts w:hint="eastAsia" w:ascii="宋体" w:hAnsi="宋体"/>
          <w:b/>
          <w:szCs w:val="21"/>
          <w:highlight w:val="none"/>
        </w:rPr>
        <w:t xml:space="preserve">对承包人超出施工设计图纸（含设计变更）范围和因承包人原因造成返工的工程量，造价工程师均不予计量。 </w:t>
      </w:r>
    </w:p>
    <w:p w14:paraId="3FCC28D9">
      <w:pPr>
        <w:spacing w:line="360" w:lineRule="auto"/>
        <w:rPr>
          <w:rFonts w:ascii="宋体" w:hAnsi="宋体"/>
          <w:szCs w:val="21"/>
          <w:highlight w:val="none"/>
        </w:rPr>
      </w:pPr>
      <w:bookmarkStart w:id="729" w:name="_Toc404592991"/>
      <w:bookmarkStart w:id="730" w:name="_Toc404592631"/>
      <w:bookmarkStart w:id="731" w:name="_Toc283188331"/>
      <w:bookmarkStart w:id="732" w:name="_Toc279710391"/>
      <w:r>
        <w:rPr>
          <w:rFonts w:hint="eastAsia" w:ascii="宋体" w:hAnsi="宋体"/>
          <w:szCs w:val="21"/>
          <w:highlight w:val="none"/>
        </w:rPr>
        <w:t>62.8 各项工作价款的计算</w:t>
      </w:r>
      <w:bookmarkEnd w:id="729"/>
      <w:bookmarkEnd w:id="730"/>
      <w:bookmarkEnd w:id="731"/>
      <w:bookmarkEnd w:id="732"/>
      <w:r>
        <w:rPr>
          <w:rFonts w:hint="eastAsia" w:ascii="宋体" w:hAnsi="宋体"/>
          <w:szCs w:val="21"/>
          <w:highlight w:val="none"/>
        </w:rPr>
        <w:t xml:space="preserve"> </w:t>
      </w:r>
    </w:p>
    <w:p w14:paraId="03F2F997">
      <w:pPr>
        <w:spacing w:line="360" w:lineRule="auto"/>
        <w:rPr>
          <w:rFonts w:ascii="宋体" w:hAnsi="宋体"/>
          <w:szCs w:val="21"/>
          <w:highlight w:val="none"/>
        </w:rPr>
      </w:pPr>
      <w:r>
        <w:rPr>
          <w:rFonts w:hint="eastAsia" w:ascii="宋体" w:hAnsi="宋体"/>
          <w:szCs w:val="21"/>
          <w:highlight w:val="none"/>
        </w:rPr>
        <w:t xml:space="preserve">本款更改为： </w:t>
      </w:r>
    </w:p>
    <w:p w14:paraId="6A039991">
      <w:pPr>
        <w:spacing w:line="360" w:lineRule="auto"/>
        <w:rPr>
          <w:rFonts w:ascii="宋体" w:hAnsi="宋体"/>
          <w:szCs w:val="21"/>
          <w:highlight w:val="none"/>
        </w:rPr>
      </w:pPr>
      <w:r>
        <w:rPr>
          <w:rFonts w:hint="eastAsia" w:ascii="宋体" w:hAnsi="宋体"/>
          <w:b/>
          <w:szCs w:val="21"/>
          <w:highlight w:val="none"/>
        </w:rPr>
        <w:t>除按照第 69 条至第 73 条、第 76 条规定所做的调整外，每项工作所适用的单价(费率)或总价应按照合同约定的该项工作的单价（费率）或总价，并按照本条规定计量得到的工程量与适用的单价（费率）或总价的乘积确定该项工作的价款。造价工程师根据各个支付期所有各项工作的价款计算该支付期工程款。</w:t>
      </w:r>
    </w:p>
    <w:p w14:paraId="5ECE5BBA">
      <w:pPr>
        <w:pStyle w:val="6"/>
        <w:rPr>
          <w:szCs w:val="24"/>
          <w:highlight w:val="none"/>
        </w:rPr>
      </w:pPr>
      <w:bookmarkStart w:id="733" w:name="_Toc254775543"/>
      <w:bookmarkStart w:id="734" w:name="_Toc273290747"/>
      <w:bookmarkStart w:id="735" w:name="_Toc271290722"/>
      <w:bookmarkStart w:id="736" w:name="_Toc461980517"/>
      <w:bookmarkStart w:id="737" w:name="_Toc22124"/>
      <w:bookmarkStart w:id="738" w:name="_Toc520715180"/>
      <w:r>
        <w:rPr>
          <w:rFonts w:hint="eastAsia"/>
          <w:szCs w:val="24"/>
          <w:highlight w:val="none"/>
        </w:rPr>
        <w:t>63、暂列金额</w:t>
      </w:r>
      <w:bookmarkEnd w:id="733"/>
      <w:bookmarkEnd w:id="734"/>
      <w:bookmarkEnd w:id="735"/>
      <w:bookmarkEnd w:id="736"/>
      <w:bookmarkEnd w:id="737"/>
      <w:bookmarkEnd w:id="738"/>
    </w:p>
    <w:p w14:paraId="3F80204F">
      <w:pPr>
        <w:spacing w:line="360" w:lineRule="auto"/>
        <w:rPr>
          <w:rFonts w:ascii="宋体" w:hAnsi="宋体"/>
          <w:szCs w:val="21"/>
          <w:highlight w:val="none"/>
        </w:rPr>
      </w:pPr>
      <w:r>
        <w:rPr>
          <w:rFonts w:hint="eastAsia" w:ascii="宋体" w:hAnsi="宋体"/>
          <w:szCs w:val="21"/>
          <w:highlight w:val="none"/>
        </w:rPr>
        <w:t>63.1  合同工程的暂列金额为</w:t>
      </w:r>
      <w:r>
        <w:rPr>
          <w:rFonts w:hint="eastAsia" w:ascii="宋体" w:hAnsi="宋体"/>
          <w:szCs w:val="21"/>
          <w:highlight w:val="none"/>
          <w:u w:val="single"/>
        </w:rPr>
        <w:t xml:space="preserve">   /   </w:t>
      </w:r>
      <w:r>
        <w:rPr>
          <w:rFonts w:hint="eastAsia" w:ascii="宋体" w:hAnsi="宋体"/>
          <w:szCs w:val="21"/>
          <w:highlight w:val="none"/>
        </w:rPr>
        <w:t>元。</w:t>
      </w:r>
    </w:p>
    <w:p w14:paraId="0A269951">
      <w:pPr>
        <w:pStyle w:val="6"/>
        <w:rPr>
          <w:szCs w:val="24"/>
          <w:highlight w:val="none"/>
        </w:rPr>
      </w:pPr>
      <w:bookmarkStart w:id="739" w:name="_Toc520715181"/>
      <w:bookmarkStart w:id="740" w:name="_Toc273290748"/>
      <w:bookmarkStart w:id="741" w:name="_Toc254775544"/>
      <w:bookmarkStart w:id="742" w:name="_Toc461980518"/>
      <w:bookmarkStart w:id="743" w:name="_Toc271290723"/>
      <w:bookmarkStart w:id="744" w:name="_Toc21220"/>
      <w:r>
        <w:rPr>
          <w:rFonts w:hint="eastAsia"/>
          <w:szCs w:val="24"/>
          <w:highlight w:val="none"/>
        </w:rPr>
        <w:t>65、暂估价</w:t>
      </w:r>
      <w:bookmarkEnd w:id="739"/>
      <w:bookmarkEnd w:id="740"/>
      <w:bookmarkEnd w:id="741"/>
      <w:bookmarkEnd w:id="742"/>
      <w:bookmarkEnd w:id="743"/>
      <w:bookmarkEnd w:id="744"/>
    </w:p>
    <w:p w14:paraId="0D252162">
      <w:pPr>
        <w:spacing w:line="360" w:lineRule="auto"/>
        <w:rPr>
          <w:rFonts w:ascii="宋体" w:hAnsi="宋体"/>
          <w:highlight w:val="none"/>
        </w:rPr>
      </w:pPr>
      <w:r>
        <w:rPr>
          <w:rFonts w:hint="eastAsia" w:ascii="宋体" w:hAnsi="宋体"/>
          <w:highlight w:val="none"/>
        </w:rPr>
        <w:t xml:space="preserve">   65.1  合同双方当事人在招标暂估价项目中各自的权利、义务的约定：无。</w:t>
      </w:r>
    </w:p>
    <w:p w14:paraId="094EBD4F">
      <w:pPr>
        <w:spacing w:line="360" w:lineRule="auto"/>
        <w:rPr>
          <w:rFonts w:ascii="宋体" w:hAnsi="宋体"/>
          <w:szCs w:val="21"/>
          <w:highlight w:val="none"/>
        </w:rPr>
      </w:pPr>
      <w:r>
        <w:rPr>
          <w:rFonts w:hint="eastAsia" w:ascii="宋体" w:hAnsi="宋体"/>
          <w:highlight w:val="none"/>
        </w:rPr>
        <w:t>65.3  非招标专业工程的暂估价金额为</w:t>
      </w:r>
      <w:r>
        <w:rPr>
          <w:rFonts w:hint="eastAsia" w:ascii="宋体" w:hAnsi="宋体"/>
          <w:highlight w:val="none"/>
          <w:u w:val="single"/>
        </w:rPr>
        <w:t xml:space="preserve">    /    </w:t>
      </w:r>
      <w:r>
        <w:rPr>
          <w:rFonts w:hint="eastAsia" w:ascii="宋体" w:hAnsi="宋体"/>
          <w:highlight w:val="none"/>
        </w:rPr>
        <w:t>元。</w:t>
      </w:r>
    </w:p>
    <w:p w14:paraId="43FB49CB">
      <w:pPr>
        <w:pStyle w:val="6"/>
        <w:rPr>
          <w:highlight w:val="none"/>
        </w:rPr>
      </w:pPr>
      <w:bookmarkStart w:id="745" w:name="_Toc520715182"/>
      <w:bookmarkStart w:id="746" w:name="_Toc254775545"/>
      <w:bookmarkStart w:id="747" w:name="_Toc271290724"/>
      <w:bookmarkStart w:id="748" w:name="_Toc3249"/>
      <w:bookmarkStart w:id="749" w:name="_Toc461980519"/>
      <w:bookmarkStart w:id="750" w:name="_Toc273290749"/>
      <w:r>
        <w:rPr>
          <w:rFonts w:hint="eastAsia"/>
          <w:highlight w:val="none"/>
        </w:rPr>
        <w:t>66、提前竣工奖与误期赔偿费</w:t>
      </w:r>
      <w:bookmarkEnd w:id="745"/>
      <w:bookmarkEnd w:id="746"/>
      <w:bookmarkEnd w:id="747"/>
      <w:bookmarkEnd w:id="748"/>
      <w:bookmarkEnd w:id="749"/>
      <w:bookmarkEnd w:id="750"/>
    </w:p>
    <w:p w14:paraId="573BA702">
      <w:pPr>
        <w:spacing w:line="360" w:lineRule="auto"/>
        <w:rPr>
          <w:rFonts w:ascii="宋体" w:hAnsi="宋体"/>
          <w:szCs w:val="21"/>
          <w:highlight w:val="none"/>
        </w:rPr>
      </w:pPr>
      <w:bookmarkStart w:id="751" w:name="_Toc263775873"/>
      <w:bookmarkStart w:id="752" w:name="_Toc334014683"/>
      <w:bookmarkStart w:id="753" w:name="_Toc520715183"/>
      <w:bookmarkStart w:id="754" w:name="_Toc22683"/>
      <w:bookmarkStart w:id="755" w:name="_Toc271290725"/>
      <w:bookmarkStart w:id="756" w:name="_Toc461980520"/>
      <w:bookmarkStart w:id="757" w:name="_Toc273290750"/>
      <w:bookmarkStart w:id="758" w:name="_Toc44235734"/>
      <w:r>
        <w:rPr>
          <w:rFonts w:hint="eastAsia" w:ascii="宋体" w:hAnsi="宋体"/>
          <w:szCs w:val="21"/>
          <w:highlight w:val="none"/>
        </w:rPr>
        <w:t>66.1  提前竣工奖的约定</w:t>
      </w:r>
      <w:bookmarkEnd w:id="751"/>
      <w:bookmarkEnd w:id="752"/>
      <w:bookmarkEnd w:id="753"/>
      <w:bookmarkEnd w:id="754"/>
      <w:bookmarkEnd w:id="755"/>
      <w:bookmarkEnd w:id="756"/>
      <w:bookmarkEnd w:id="757"/>
      <w:bookmarkEnd w:id="758"/>
    </w:p>
    <w:p w14:paraId="651776FF">
      <w:pPr>
        <w:spacing w:line="360" w:lineRule="auto"/>
        <w:rPr>
          <w:rFonts w:ascii="宋体" w:hAnsi="宋体"/>
          <w:szCs w:val="21"/>
          <w:highlight w:val="none"/>
        </w:rPr>
      </w:pPr>
      <w:r>
        <w:rPr>
          <w:rFonts w:hint="eastAsia" w:ascii="宋体" w:hAnsi="宋体"/>
          <w:szCs w:val="21"/>
          <w:highlight w:val="none"/>
        </w:rPr>
        <w:t>■   没约定提前竣工奖的，本款不适用。</w:t>
      </w:r>
    </w:p>
    <w:p w14:paraId="1A65F406">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约定提前竣工奖的，每日历天应奖额度为</w:t>
      </w:r>
      <w:r>
        <w:rPr>
          <w:rFonts w:hint="eastAsia" w:ascii="宋体" w:hAnsi="宋体"/>
          <w:szCs w:val="21"/>
          <w:highlight w:val="none"/>
          <w:u w:val="single"/>
        </w:rPr>
        <w:t xml:space="preserve">  /   </w:t>
      </w:r>
      <w:r>
        <w:rPr>
          <w:rFonts w:hint="eastAsia" w:ascii="宋体" w:hAnsi="宋体"/>
          <w:szCs w:val="21"/>
          <w:highlight w:val="none"/>
        </w:rPr>
        <w:t>元，提前竣工奖的最高限额是</w:t>
      </w:r>
      <w:r>
        <w:rPr>
          <w:rFonts w:hint="eastAsia" w:ascii="宋体" w:hAnsi="宋体"/>
          <w:szCs w:val="21"/>
          <w:highlight w:val="none"/>
          <w:u w:val="single"/>
        </w:rPr>
        <w:t xml:space="preserve">   /   </w:t>
      </w:r>
      <w:r>
        <w:rPr>
          <w:rFonts w:hint="eastAsia" w:ascii="宋体" w:hAnsi="宋体"/>
          <w:szCs w:val="21"/>
          <w:highlight w:val="none"/>
        </w:rPr>
        <w:t>元。</w:t>
      </w:r>
    </w:p>
    <w:p w14:paraId="7B15BFCD">
      <w:pPr>
        <w:spacing w:line="360" w:lineRule="auto"/>
        <w:rPr>
          <w:rFonts w:ascii="宋体" w:hAnsi="宋体"/>
          <w:szCs w:val="21"/>
          <w:highlight w:val="none"/>
        </w:rPr>
      </w:pPr>
      <w:bookmarkStart w:id="759" w:name="_Toc520715184"/>
      <w:bookmarkStart w:id="760" w:name="_Toc273290751"/>
      <w:bookmarkStart w:id="761" w:name="_Toc271290726"/>
      <w:bookmarkStart w:id="762" w:name="_Toc44235735"/>
      <w:bookmarkStart w:id="763" w:name="_Toc334014684"/>
      <w:bookmarkStart w:id="764" w:name="_Toc13339"/>
      <w:bookmarkStart w:id="765" w:name="_Toc461980521"/>
      <w:r>
        <w:rPr>
          <w:rFonts w:hint="eastAsia" w:ascii="宋体" w:hAnsi="宋体"/>
          <w:szCs w:val="21"/>
          <w:highlight w:val="none"/>
        </w:rPr>
        <w:t>66.2  误期赔偿费的约定</w:t>
      </w:r>
      <w:bookmarkEnd w:id="759"/>
      <w:bookmarkEnd w:id="760"/>
      <w:bookmarkEnd w:id="761"/>
      <w:bookmarkEnd w:id="762"/>
      <w:bookmarkEnd w:id="763"/>
      <w:bookmarkEnd w:id="764"/>
      <w:bookmarkEnd w:id="765"/>
    </w:p>
    <w:p w14:paraId="5090DA2D">
      <w:pPr>
        <w:spacing w:line="360" w:lineRule="auto"/>
        <w:rPr>
          <w:rFonts w:ascii="宋体" w:hAnsi="宋体"/>
          <w:szCs w:val="21"/>
          <w:highlight w:val="none"/>
        </w:rPr>
      </w:pPr>
      <w:r>
        <w:rPr>
          <w:rFonts w:hint="eastAsia" w:ascii="宋体" w:hAnsi="宋体"/>
          <w:szCs w:val="21"/>
          <w:highlight w:val="none"/>
        </w:rPr>
        <w:t>(1)  每日历天应赔付额度为</w:t>
      </w:r>
      <w:r>
        <w:rPr>
          <w:rFonts w:hint="eastAsia" w:ascii="宋体" w:hAnsi="宋体"/>
          <w:szCs w:val="21"/>
          <w:highlight w:val="none"/>
          <w:u w:val="single"/>
        </w:rPr>
        <w:t xml:space="preserve">  </w:t>
      </w:r>
      <w:r>
        <w:rPr>
          <w:rFonts w:hint="eastAsia" w:ascii="宋体" w:hAnsi="宋体"/>
          <w:b/>
          <w:szCs w:val="21"/>
          <w:highlight w:val="none"/>
          <w:u w:val="single"/>
        </w:rPr>
        <w:t>人民币50000</w:t>
      </w:r>
      <w:r>
        <w:rPr>
          <w:rFonts w:hint="eastAsia" w:ascii="宋体" w:hAnsi="宋体"/>
          <w:szCs w:val="21"/>
          <w:highlight w:val="none"/>
        </w:rPr>
        <w:t>元。</w:t>
      </w:r>
    </w:p>
    <w:p w14:paraId="5D18EFA3">
      <w:pPr>
        <w:spacing w:line="360" w:lineRule="auto"/>
        <w:rPr>
          <w:rFonts w:ascii="宋体" w:hAnsi="宋体"/>
          <w:szCs w:val="21"/>
          <w:highlight w:val="none"/>
        </w:rPr>
      </w:pPr>
      <w:r>
        <w:rPr>
          <w:rFonts w:hint="eastAsia" w:ascii="宋体" w:hAnsi="宋体"/>
          <w:szCs w:val="21"/>
          <w:highlight w:val="none"/>
        </w:rPr>
        <w:t>(2)  误期赔偿费最高限额是</w:t>
      </w:r>
      <w:r>
        <w:rPr>
          <w:rFonts w:hint="eastAsia" w:ascii="宋体" w:hAnsi="宋体"/>
          <w:szCs w:val="21"/>
          <w:highlight w:val="none"/>
          <w:u w:val="single"/>
        </w:rPr>
        <w:t xml:space="preserve">  </w:t>
      </w:r>
      <w:r>
        <w:rPr>
          <w:rFonts w:hint="eastAsia" w:ascii="宋体" w:hAnsi="宋体"/>
          <w:b/>
          <w:szCs w:val="21"/>
          <w:highlight w:val="none"/>
          <w:u w:val="single"/>
        </w:rPr>
        <w:t>合同总价的5%</w:t>
      </w:r>
      <w:r>
        <w:rPr>
          <w:rFonts w:hint="eastAsia" w:ascii="宋体" w:hAnsi="宋体"/>
          <w:szCs w:val="21"/>
          <w:highlight w:val="none"/>
          <w:u w:val="single"/>
        </w:rPr>
        <w:t xml:space="preserve"> </w:t>
      </w:r>
      <w:r>
        <w:rPr>
          <w:rFonts w:hint="eastAsia" w:ascii="宋体" w:hAnsi="宋体"/>
          <w:szCs w:val="21"/>
          <w:highlight w:val="none"/>
        </w:rPr>
        <w:t>。</w:t>
      </w:r>
    </w:p>
    <w:p w14:paraId="4E0F8BE3">
      <w:pPr>
        <w:spacing w:line="360" w:lineRule="auto"/>
        <w:rPr>
          <w:rFonts w:ascii="宋体" w:hAnsi="宋体"/>
          <w:szCs w:val="21"/>
          <w:highlight w:val="none"/>
        </w:rPr>
      </w:pPr>
    </w:p>
    <w:p w14:paraId="7B360F1B">
      <w:pPr>
        <w:pStyle w:val="6"/>
        <w:rPr>
          <w:highlight w:val="none"/>
        </w:rPr>
      </w:pPr>
      <w:bookmarkStart w:id="766" w:name="_Toc520715185"/>
      <w:bookmarkStart w:id="767" w:name="_Toc273290752"/>
      <w:bookmarkStart w:id="768" w:name="_Toc271290727"/>
      <w:bookmarkStart w:id="769" w:name="_Toc254775546"/>
      <w:bookmarkStart w:id="770" w:name="_Toc8788"/>
      <w:bookmarkStart w:id="771" w:name="_Toc461980522"/>
      <w:r>
        <w:rPr>
          <w:rFonts w:hint="eastAsia"/>
          <w:highlight w:val="none"/>
        </w:rPr>
        <w:t>67、优质优价奖</w:t>
      </w:r>
      <w:bookmarkEnd w:id="766"/>
      <w:bookmarkEnd w:id="767"/>
      <w:bookmarkEnd w:id="768"/>
      <w:bookmarkEnd w:id="769"/>
      <w:bookmarkEnd w:id="770"/>
      <w:bookmarkEnd w:id="771"/>
    </w:p>
    <w:p w14:paraId="0955B3EA">
      <w:pPr>
        <w:spacing w:line="360" w:lineRule="auto"/>
        <w:rPr>
          <w:rFonts w:ascii="宋体" w:hAnsi="宋体"/>
          <w:szCs w:val="21"/>
          <w:highlight w:val="none"/>
        </w:rPr>
      </w:pPr>
      <w:bookmarkStart w:id="772" w:name="_Toc271290728"/>
      <w:bookmarkStart w:id="773" w:name="_Toc461980523"/>
      <w:bookmarkStart w:id="774" w:name="_Toc23085"/>
      <w:bookmarkStart w:id="775" w:name="_Toc44235736"/>
      <w:bookmarkStart w:id="776" w:name="_Toc273290753"/>
      <w:bookmarkStart w:id="777" w:name="_Toc263775875"/>
      <w:bookmarkStart w:id="778" w:name="_Toc334014686"/>
      <w:bookmarkStart w:id="779" w:name="_Toc520715186"/>
      <w:r>
        <w:rPr>
          <w:rFonts w:hint="eastAsia" w:ascii="宋体" w:hAnsi="宋体"/>
          <w:szCs w:val="21"/>
          <w:highlight w:val="none"/>
        </w:rPr>
        <w:t>67.1  优质优价奖的约定</w:t>
      </w:r>
      <w:bookmarkEnd w:id="772"/>
      <w:bookmarkEnd w:id="773"/>
      <w:bookmarkEnd w:id="774"/>
      <w:bookmarkEnd w:id="775"/>
      <w:bookmarkEnd w:id="776"/>
      <w:bookmarkEnd w:id="777"/>
      <w:bookmarkEnd w:id="778"/>
      <w:bookmarkEnd w:id="779"/>
    </w:p>
    <w:p w14:paraId="62BE8F36">
      <w:pPr>
        <w:spacing w:line="360" w:lineRule="auto"/>
        <w:rPr>
          <w:rFonts w:ascii="宋体" w:hAnsi="宋体"/>
          <w:szCs w:val="21"/>
          <w:highlight w:val="none"/>
        </w:rPr>
      </w:pPr>
      <w:r>
        <w:rPr>
          <w:rFonts w:hint="eastAsia" w:ascii="宋体" w:hAnsi="宋体"/>
          <w:szCs w:val="21"/>
          <w:highlight w:val="none"/>
        </w:rPr>
        <w:t>■   没约定优质优价奖的，本款不适用。</w:t>
      </w:r>
    </w:p>
    <w:p w14:paraId="4516755E">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约定</w:t>
      </w:r>
      <w:r>
        <w:rPr>
          <w:rFonts w:hint="eastAsia" w:ascii="宋体" w:hAnsi="宋体"/>
          <w:highlight w:val="none"/>
        </w:rPr>
        <w:t>优质优价奖</w:t>
      </w:r>
      <w:r>
        <w:rPr>
          <w:rFonts w:hint="eastAsia" w:ascii="宋体" w:hAnsi="宋体"/>
          <w:szCs w:val="21"/>
          <w:highlight w:val="none"/>
        </w:rPr>
        <w:t>的等级：</w:t>
      </w:r>
    </w:p>
    <w:p w14:paraId="15EC2ACE">
      <w:pPr>
        <w:spacing w:line="360" w:lineRule="auto"/>
        <w:rPr>
          <w:rFonts w:ascii="宋体" w:hAnsi="宋体"/>
          <w:szCs w:val="21"/>
          <w:highlight w:val="none"/>
        </w:rPr>
      </w:pPr>
      <w:bookmarkStart w:id="780" w:name="_Toc334014687"/>
      <w:bookmarkStart w:id="781" w:name="_Toc44235737"/>
      <w:bookmarkStart w:id="782" w:name="_Toc461980524"/>
      <w:bookmarkStart w:id="783" w:name="_Toc271290729"/>
      <w:bookmarkStart w:id="784" w:name="_Toc273290754"/>
      <w:bookmarkStart w:id="785" w:name="_Toc23815"/>
      <w:bookmarkStart w:id="786" w:name="_Toc520715187"/>
      <w:bookmarkStart w:id="787" w:name="_Toc263775876"/>
      <w:r>
        <w:rPr>
          <w:rFonts w:hint="eastAsia" w:ascii="宋体" w:hAnsi="宋体"/>
          <w:szCs w:val="21"/>
          <w:highlight w:val="none"/>
        </w:rPr>
        <w:t>67.2  优质优价奖的计提与支付：</w:t>
      </w:r>
      <w:bookmarkEnd w:id="780"/>
      <w:bookmarkEnd w:id="781"/>
      <w:bookmarkEnd w:id="782"/>
      <w:bookmarkEnd w:id="783"/>
      <w:bookmarkEnd w:id="784"/>
      <w:bookmarkEnd w:id="785"/>
      <w:bookmarkEnd w:id="786"/>
      <w:bookmarkEnd w:id="787"/>
    </w:p>
    <w:p w14:paraId="40695893">
      <w:pPr>
        <w:spacing w:line="360" w:lineRule="auto"/>
        <w:rPr>
          <w:rFonts w:ascii="宋体" w:hAnsi="宋体"/>
          <w:highlight w:val="none"/>
        </w:rPr>
      </w:pPr>
      <w:r>
        <w:rPr>
          <w:rFonts w:ascii="宋体" w:hAnsi="宋体"/>
          <w:szCs w:val="21"/>
          <w:highlight w:val="none"/>
        </w:rPr>
        <w:t>□</w:t>
      </w:r>
      <w:r>
        <w:rPr>
          <w:rFonts w:hint="eastAsia" w:ascii="宋体" w:hAnsi="宋体"/>
          <w:szCs w:val="21"/>
          <w:highlight w:val="none"/>
        </w:rPr>
        <w:t xml:space="preserve">   国家级质量奖，合同价款的3%，即</w:t>
      </w:r>
      <w:r>
        <w:rPr>
          <w:rFonts w:hint="eastAsia" w:ascii="宋体" w:hAnsi="宋体"/>
          <w:szCs w:val="21"/>
          <w:highlight w:val="none"/>
          <w:u w:val="single"/>
        </w:rPr>
        <w:t xml:space="preserve">             </w:t>
      </w:r>
      <w:r>
        <w:rPr>
          <w:rFonts w:hint="eastAsia" w:ascii="宋体" w:hAnsi="宋体"/>
          <w:szCs w:val="21"/>
          <w:highlight w:val="none"/>
        </w:rPr>
        <w:t>元；</w:t>
      </w:r>
    </w:p>
    <w:p w14:paraId="3ABF299F">
      <w:pPr>
        <w:spacing w:line="360" w:lineRule="auto"/>
        <w:rPr>
          <w:rFonts w:ascii="宋体" w:hAnsi="宋体"/>
          <w:highlight w:val="none"/>
        </w:rPr>
      </w:pPr>
      <w:r>
        <w:rPr>
          <w:rFonts w:ascii="宋体" w:hAnsi="宋体"/>
          <w:szCs w:val="21"/>
          <w:highlight w:val="none"/>
        </w:rPr>
        <w:t>□</w:t>
      </w:r>
      <w:r>
        <w:rPr>
          <w:rFonts w:hint="eastAsia" w:ascii="宋体" w:hAnsi="宋体"/>
          <w:szCs w:val="21"/>
          <w:highlight w:val="none"/>
        </w:rPr>
        <w:t xml:space="preserve">   省级质量奖，合同价款的2%，即</w:t>
      </w:r>
      <w:r>
        <w:rPr>
          <w:rFonts w:hint="eastAsia" w:ascii="宋体" w:hAnsi="宋体"/>
          <w:szCs w:val="21"/>
          <w:highlight w:val="none"/>
          <w:u w:val="single"/>
        </w:rPr>
        <w:t xml:space="preserve">               </w:t>
      </w:r>
      <w:r>
        <w:rPr>
          <w:rFonts w:hint="eastAsia" w:ascii="宋体" w:hAnsi="宋体"/>
          <w:szCs w:val="21"/>
          <w:highlight w:val="none"/>
        </w:rPr>
        <w:t>元；</w:t>
      </w:r>
    </w:p>
    <w:p w14:paraId="43507F6E">
      <w:pPr>
        <w:spacing w:line="360" w:lineRule="auto"/>
        <w:rPr>
          <w:rFonts w:ascii="宋体" w:hAnsi="宋体"/>
          <w:highlight w:val="none"/>
        </w:rPr>
      </w:pPr>
      <w:r>
        <w:rPr>
          <w:rFonts w:ascii="宋体" w:hAnsi="宋体"/>
          <w:szCs w:val="21"/>
          <w:highlight w:val="none"/>
        </w:rPr>
        <w:t>□</w:t>
      </w:r>
      <w:r>
        <w:rPr>
          <w:rFonts w:hint="eastAsia" w:ascii="宋体" w:hAnsi="宋体"/>
          <w:szCs w:val="21"/>
          <w:highlight w:val="none"/>
        </w:rPr>
        <w:t xml:space="preserve">   市级质量奖，合同价款的1%，即</w:t>
      </w:r>
      <w:r>
        <w:rPr>
          <w:rFonts w:hint="eastAsia" w:ascii="宋体" w:hAnsi="宋体"/>
          <w:szCs w:val="21"/>
          <w:highlight w:val="none"/>
          <w:u w:val="single"/>
        </w:rPr>
        <w:t xml:space="preserve">               </w:t>
      </w:r>
      <w:r>
        <w:rPr>
          <w:rFonts w:hint="eastAsia" w:ascii="宋体" w:hAnsi="宋体"/>
          <w:szCs w:val="21"/>
          <w:highlight w:val="none"/>
        </w:rPr>
        <w:t>元；</w:t>
      </w:r>
    </w:p>
    <w:p w14:paraId="7164782E">
      <w:pPr>
        <w:pStyle w:val="6"/>
        <w:rPr>
          <w:highlight w:val="none"/>
        </w:rPr>
      </w:pPr>
      <w:bookmarkStart w:id="788" w:name="_Toc273290755"/>
      <w:bookmarkStart w:id="789" w:name="_Toc32634"/>
      <w:bookmarkStart w:id="790" w:name="_Toc271290730"/>
      <w:bookmarkStart w:id="791" w:name="_Toc461980525"/>
      <w:bookmarkStart w:id="792" w:name="_Toc254775547"/>
      <w:bookmarkStart w:id="793" w:name="_Toc520715188"/>
      <w:r>
        <w:rPr>
          <w:rFonts w:hint="eastAsia"/>
          <w:highlight w:val="none"/>
        </w:rPr>
        <w:t>68、</w:t>
      </w:r>
      <w:r>
        <w:rPr>
          <w:rFonts w:hint="eastAsia"/>
          <w:szCs w:val="24"/>
          <w:highlight w:val="none"/>
        </w:rPr>
        <w:t>合同价款的约定与调整</w:t>
      </w:r>
      <w:bookmarkEnd w:id="788"/>
      <w:bookmarkEnd w:id="789"/>
      <w:bookmarkEnd w:id="790"/>
      <w:bookmarkEnd w:id="791"/>
      <w:bookmarkEnd w:id="792"/>
      <w:bookmarkEnd w:id="793"/>
    </w:p>
    <w:p w14:paraId="2D77A314">
      <w:pPr>
        <w:spacing w:line="360" w:lineRule="auto"/>
        <w:rPr>
          <w:rFonts w:ascii="宋体" w:hAnsi="宋体"/>
          <w:szCs w:val="21"/>
          <w:highlight w:val="none"/>
        </w:rPr>
      </w:pPr>
      <w:bookmarkStart w:id="794" w:name="_Toc279710401"/>
      <w:bookmarkStart w:id="795" w:name="_Toc259494204"/>
      <w:bookmarkStart w:id="796" w:name="_Toc404593001"/>
      <w:bookmarkStart w:id="797" w:name="_Toc283188341"/>
      <w:bookmarkStart w:id="798" w:name="_Toc44235738"/>
      <w:bookmarkStart w:id="799" w:name="_Toc404592641"/>
      <w:r>
        <w:rPr>
          <w:rFonts w:hint="eastAsia" w:ascii="宋体" w:hAnsi="宋体"/>
          <w:szCs w:val="21"/>
          <w:highlight w:val="none"/>
        </w:rPr>
        <w:t>68.2  合同价款的调整因素包括：</w:t>
      </w:r>
      <w:bookmarkEnd w:id="794"/>
      <w:bookmarkEnd w:id="795"/>
      <w:bookmarkEnd w:id="796"/>
      <w:bookmarkEnd w:id="797"/>
      <w:bookmarkEnd w:id="798"/>
      <w:bookmarkEnd w:id="799"/>
    </w:p>
    <w:p w14:paraId="0C794B47">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后继法律法规变化的事件；</w:t>
      </w:r>
    </w:p>
    <w:p w14:paraId="71648DED">
      <w:pPr>
        <w:spacing w:line="360" w:lineRule="auto"/>
        <w:rPr>
          <w:rFonts w:ascii="宋体" w:hAnsi="宋体"/>
          <w:szCs w:val="21"/>
          <w:highlight w:val="none"/>
        </w:rPr>
      </w:pPr>
      <w:r>
        <w:rPr>
          <w:rFonts w:hint="eastAsia" w:ascii="宋体" w:hAnsi="宋体"/>
          <w:szCs w:val="21"/>
          <w:highlight w:val="none"/>
        </w:rPr>
        <w:t>■  项目特征描述不符事件；</w:t>
      </w:r>
    </w:p>
    <w:p w14:paraId="12A3ADED">
      <w:pPr>
        <w:spacing w:line="360" w:lineRule="auto"/>
        <w:rPr>
          <w:rFonts w:ascii="宋体" w:hAnsi="宋体"/>
          <w:szCs w:val="21"/>
          <w:highlight w:val="none"/>
        </w:rPr>
      </w:pPr>
      <w:r>
        <w:rPr>
          <w:rFonts w:hint="eastAsia" w:ascii="宋体" w:hAnsi="宋体"/>
          <w:szCs w:val="21"/>
          <w:highlight w:val="none"/>
        </w:rPr>
        <w:t>■  分部分项工程量清单缺项漏项事件；</w:t>
      </w:r>
    </w:p>
    <w:p w14:paraId="436386AC">
      <w:pPr>
        <w:spacing w:line="360" w:lineRule="auto"/>
        <w:rPr>
          <w:rFonts w:ascii="宋体" w:hAnsi="宋体"/>
          <w:szCs w:val="21"/>
          <w:highlight w:val="none"/>
        </w:rPr>
      </w:pPr>
      <w:r>
        <w:rPr>
          <w:rFonts w:hint="eastAsia" w:ascii="宋体" w:hAnsi="宋体"/>
          <w:szCs w:val="21"/>
          <w:highlight w:val="none"/>
        </w:rPr>
        <w:t>■  工程变更事件；</w:t>
      </w:r>
    </w:p>
    <w:p w14:paraId="2A2E69CE">
      <w:pPr>
        <w:spacing w:line="360" w:lineRule="auto"/>
        <w:rPr>
          <w:rFonts w:ascii="宋体" w:hAnsi="宋体"/>
          <w:szCs w:val="21"/>
          <w:highlight w:val="none"/>
        </w:rPr>
      </w:pPr>
      <w:r>
        <w:rPr>
          <w:rFonts w:hint="eastAsia" w:ascii="宋体" w:hAnsi="宋体"/>
          <w:szCs w:val="21"/>
          <w:highlight w:val="none"/>
        </w:rPr>
        <w:t>■  工程量偏差事件；</w:t>
      </w:r>
    </w:p>
    <w:p w14:paraId="57F26CC4">
      <w:pPr>
        <w:spacing w:line="360" w:lineRule="auto"/>
        <w:rPr>
          <w:rFonts w:ascii="宋体" w:hAnsi="宋体"/>
          <w:szCs w:val="21"/>
          <w:highlight w:val="none"/>
        </w:rPr>
      </w:pPr>
      <w:r>
        <w:rPr>
          <w:rFonts w:hint="eastAsia" w:ascii="宋体" w:hAnsi="宋体"/>
          <w:szCs w:val="21"/>
          <w:highlight w:val="none"/>
        </w:rPr>
        <w:t>■  费用索赔事件</w:t>
      </w:r>
    </w:p>
    <w:p w14:paraId="6A6CFC16">
      <w:pPr>
        <w:spacing w:line="360" w:lineRule="auto"/>
        <w:rPr>
          <w:rFonts w:ascii="宋体" w:hAnsi="宋体"/>
          <w:szCs w:val="21"/>
          <w:highlight w:val="none"/>
        </w:rPr>
      </w:pPr>
      <w:r>
        <w:rPr>
          <w:rFonts w:hint="eastAsia" w:ascii="宋体" w:hAnsi="宋体"/>
          <w:szCs w:val="21"/>
          <w:highlight w:val="none"/>
        </w:rPr>
        <w:t>■  现场签证事件</w:t>
      </w:r>
    </w:p>
    <w:p w14:paraId="72EFA708">
      <w:pPr>
        <w:spacing w:line="360" w:lineRule="auto"/>
        <w:rPr>
          <w:rFonts w:ascii="宋体" w:hAnsi="宋体"/>
          <w:szCs w:val="21"/>
          <w:highlight w:val="none"/>
        </w:rPr>
      </w:pPr>
      <w:r>
        <w:rPr>
          <w:rFonts w:hint="eastAsia" w:ascii="宋体" w:hAnsi="宋体"/>
          <w:szCs w:val="21"/>
          <w:highlight w:val="none"/>
        </w:rPr>
        <w:t>■  物价涨落事件；</w:t>
      </w:r>
    </w:p>
    <w:p w14:paraId="6C4451D4">
      <w:pPr>
        <w:spacing w:line="360" w:lineRule="auto"/>
        <w:rPr>
          <w:rFonts w:ascii="宋体" w:hAnsi="宋体"/>
          <w:szCs w:val="21"/>
          <w:highlight w:val="none"/>
        </w:rPr>
      </w:pPr>
      <w:r>
        <w:rPr>
          <w:rFonts w:hint="eastAsia" w:ascii="宋体" w:hAnsi="宋体"/>
          <w:szCs w:val="21"/>
          <w:highlight w:val="none"/>
        </w:rPr>
        <w:t>■  合同双方当事人约定的其他调整事件；</w:t>
      </w:r>
    </w:p>
    <w:p w14:paraId="50F1E2E1">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其他调整因素：</w:t>
      </w:r>
    </w:p>
    <w:p w14:paraId="66C42B44">
      <w:pPr>
        <w:pStyle w:val="6"/>
        <w:rPr>
          <w:highlight w:val="none"/>
        </w:rPr>
      </w:pPr>
      <w:bookmarkStart w:id="800" w:name="_Toc1988"/>
      <w:bookmarkStart w:id="801" w:name="_Toc461980527"/>
      <w:bookmarkStart w:id="802" w:name="_Toc254775548"/>
      <w:bookmarkStart w:id="803" w:name="_Toc273290757"/>
      <w:bookmarkStart w:id="804" w:name="_Toc271290732"/>
      <w:bookmarkStart w:id="805" w:name="_Toc520715190"/>
      <w:r>
        <w:rPr>
          <w:rFonts w:hint="eastAsia"/>
          <w:highlight w:val="none"/>
        </w:rPr>
        <w:t>70、</w:t>
      </w:r>
      <w:r>
        <w:rPr>
          <w:rFonts w:hint="eastAsia"/>
          <w:szCs w:val="24"/>
          <w:highlight w:val="none"/>
        </w:rPr>
        <w:t>项目特征描述不符事件</w:t>
      </w:r>
      <w:bookmarkEnd w:id="800"/>
      <w:bookmarkEnd w:id="801"/>
      <w:bookmarkEnd w:id="802"/>
      <w:bookmarkEnd w:id="803"/>
      <w:bookmarkEnd w:id="804"/>
      <w:bookmarkEnd w:id="805"/>
    </w:p>
    <w:p w14:paraId="58A6B1B7">
      <w:pPr>
        <w:spacing w:line="360" w:lineRule="auto"/>
        <w:rPr>
          <w:rFonts w:ascii="宋体" w:hAnsi="宋体"/>
          <w:szCs w:val="21"/>
          <w:highlight w:val="none"/>
        </w:rPr>
      </w:pPr>
      <w:bookmarkStart w:id="806" w:name="_Toc283188343"/>
      <w:bookmarkStart w:id="807" w:name="_Toc259494207"/>
      <w:bookmarkStart w:id="808" w:name="_Toc279710403"/>
      <w:bookmarkStart w:id="809" w:name="_Toc404593003"/>
      <w:bookmarkStart w:id="810" w:name="_Toc404592643"/>
      <w:r>
        <w:rPr>
          <w:rFonts w:hint="eastAsia" w:ascii="宋体" w:hAnsi="宋体"/>
          <w:szCs w:val="21"/>
          <w:highlight w:val="none"/>
        </w:rPr>
        <w:t>70.1  项目特征的准确性</w:t>
      </w:r>
      <w:bookmarkEnd w:id="806"/>
      <w:bookmarkEnd w:id="807"/>
      <w:bookmarkEnd w:id="808"/>
      <w:bookmarkEnd w:id="809"/>
      <w:bookmarkEnd w:id="810"/>
    </w:p>
    <w:p w14:paraId="6EA60E39">
      <w:pPr>
        <w:spacing w:line="360" w:lineRule="auto"/>
        <w:rPr>
          <w:rFonts w:ascii="宋体" w:hAnsi="宋体"/>
          <w:szCs w:val="21"/>
          <w:highlight w:val="none"/>
        </w:rPr>
      </w:pPr>
      <w:r>
        <w:rPr>
          <w:rFonts w:hint="eastAsia" w:ascii="宋体" w:hAnsi="宋体"/>
          <w:szCs w:val="21"/>
          <w:highlight w:val="none"/>
        </w:rPr>
        <w:t>整条删改为：</w:t>
      </w:r>
    </w:p>
    <w:p w14:paraId="38150E69">
      <w:pPr>
        <w:spacing w:line="360" w:lineRule="auto"/>
        <w:rPr>
          <w:rFonts w:ascii="宋体" w:hAnsi="宋体"/>
          <w:b/>
          <w:szCs w:val="21"/>
          <w:highlight w:val="none"/>
        </w:rPr>
      </w:pPr>
      <w:r>
        <w:rPr>
          <w:rFonts w:hint="eastAsia" w:ascii="宋体" w:hAnsi="宋体"/>
          <w:b/>
          <w:szCs w:val="21"/>
          <w:highlight w:val="none"/>
        </w:rPr>
        <w:t>发包人在工程量清单中对项目特征的描述，不应被认为是准确和全面的，并且与实际施工要求不一定相符合。承包人应按照发包人提供的图纸，根据图纸内容及有关要求实施合同工程，直到其被改变为止。</w:t>
      </w:r>
    </w:p>
    <w:p w14:paraId="7CEDB0FD">
      <w:pPr>
        <w:spacing w:line="360" w:lineRule="auto"/>
        <w:rPr>
          <w:rFonts w:ascii="宋体" w:hAnsi="宋体"/>
          <w:b/>
          <w:szCs w:val="21"/>
          <w:highlight w:val="none"/>
        </w:rPr>
      </w:pPr>
      <w:r>
        <w:rPr>
          <w:rFonts w:hint="eastAsia" w:ascii="宋体" w:hAnsi="宋体"/>
          <w:b/>
          <w:szCs w:val="21"/>
          <w:highlight w:val="none"/>
        </w:rPr>
        <w:t>本合同工程当出现施工图纸或工程量清单的材料与招标文件的材料明细表的材料要求不一致时,以招标文件的材料明细表的材料要求为准. 招标文件披露图纸的变更和补充，是图纸内容的一部分，必须执行。如果招标文件披露图纸的变更和补充与原图纸有冲突，以招标文件披露图纸的变更和补充为准。</w:t>
      </w:r>
    </w:p>
    <w:p w14:paraId="02E23AE4">
      <w:pPr>
        <w:spacing w:line="360" w:lineRule="auto"/>
        <w:rPr>
          <w:rFonts w:ascii="宋体" w:hAnsi="宋体"/>
          <w:szCs w:val="21"/>
          <w:highlight w:val="none"/>
        </w:rPr>
      </w:pPr>
      <w:r>
        <w:rPr>
          <w:rFonts w:hint="eastAsia" w:ascii="宋体" w:hAnsi="宋体"/>
          <w:szCs w:val="21"/>
          <w:highlight w:val="none"/>
        </w:rPr>
        <w:t>70.2  项目特征描述不符的价款调整</w:t>
      </w:r>
    </w:p>
    <w:p w14:paraId="6AA4A8BA">
      <w:pPr>
        <w:spacing w:line="360" w:lineRule="auto"/>
        <w:rPr>
          <w:rFonts w:ascii="宋体" w:hAnsi="宋体"/>
          <w:szCs w:val="21"/>
          <w:highlight w:val="none"/>
        </w:rPr>
      </w:pPr>
      <w:r>
        <w:rPr>
          <w:rFonts w:hint="eastAsia" w:ascii="宋体" w:hAnsi="宋体"/>
          <w:szCs w:val="21"/>
          <w:highlight w:val="none"/>
        </w:rPr>
        <w:t>整条删改为：</w:t>
      </w:r>
    </w:p>
    <w:p w14:paraId="7B6412BE">
      <w:pPr>
        <w:spacing w:line="360" w:lineRule="auto"/>
        <w:rPr>
          <w:rFonts w:ascii="宋体" w:hAnsi="宋体"/>
          <w:szCs w:val="21"/>
          <w:highlight w:val="none"/>
        </w:rPr>
      </w:pPr>
      <w:r>
        <w:rPr>
          <w:rFonts w:hint="eastAsia" w:ascii="宋体" w:hAnsi="宋体"/>
          <w:b/>
          <w:szCs w:val="21"/>
          <w:highlight w:val="none"/>
        </w:rPr>
        <w:t xml:space="preserve">合同履行期间，出现实际施工设计图纸与招标文件提供的工程量清单任一项目特征不符，应以实际施工设计图纸及招标文件的技术要求为准，承包人必须按实际施工设计图纸及招标文件的技术要求进行施工；如果施工图纸末明确的工作内容在清单中有列明的，按清单所列明的内容执行。 </w:t>
      </w:r>
    </w:p>
    <w:p w14:paraId="5EC5DC9E">
      <w:pPr>
        <w:pStyle w:val="6"/>
        <w:rPr>
          <w:highlight w:val="none"/>
        </w:rPr>
      </w:pPr>
      <w:bookmarkStart w:id="811" w:name="_Toc520715193"/>
      <w:bookmarkStart w:id="812" w:name="_Toc461980530"/>
      <w:bookmarkStart w:id="813" w:name="_Toc10977"/>
      <w:bookmarkStart w:id="814" w:name="_Toc271290735"/>
      <w:bookmarkStart w:id="815" w:name="_Toc254775549"/>
      <w:bookmarkStart w:id="816" w:name="_Toc273290760"/>
      <w:r>
        <w:rPr>
          <w:rFonts w:hint="eastAsia"/>
          <w:highlight w:val="none"/>
        </w:rPr>
        <w:t>71、</w:t>
      </w:r>
      <w:r>
        <w:rPr>
          <w:rFonts w:hint="eastAsia"/>
          <w:szCs w:val="24"/>
          <w:highlight w:val="none"/>
        </w:rPr>
        <w:t>分部分项工程量清单缺项漏项事件</w:t>
      </w:r>
      <w:bookmarkEnd w:id="811"/>
      <w:bookmarkEnd w:id="812"/>
      <w:bookmarkEnd w:id="813"/>
      <w:bookmarkEnd w:id="814"/>
      <w:bookmarkEnd w:id="815"/>
      <w:bookmarkEnd w:id="816"/>
    </w:p>
    <w:p w14:paraId="533FC837">
      <w:pPr>
        <w:spacing w:line="360" w:lineRule="auto"/>
        <w:rPr>
          <w:rFonts w:ascii="宋体" w:hAnsi="宋体"/>
          <w:b/>
          <w:szCs w:val="21"/>
          <w:highlight w:val="none"/>
        </w:rPr>
      </w:pPr>
      <w:bookmarkStart w:id="817" w:name="_Toc308516391"/>
      <w:bookmarkStart w:id="818" w:name="_Toc293997011"/>
      <w:bookmarkStart w:id="819" w:name="_Toc320539141"/>
      <w:bookmarkStart w:id="820" w:name="_Toc362278331"/>
      <w:bookmarkStart w:id="821" w:name="_Toc326853366"/>
      <w:r>
        <w:rPr>
          <w:rFonts w:hint="eastAsia" w:ascii="宋体" w:hAnsi="宋体"/>
          <w:b/>
          <w:szCs w:val="21"/>
          <w:highlight w:val="none"/>
        </w:rPr>
        <w:t>71.1  清单缺项漏项的价款调整</w:t>
      </w:r>
      <w:bookmarkEnd w:id="817"/>
      <w:bookmarkEnd w:id="818"/>
      <w:bookmarkEnd w:id="819"/>
      <w:bookmarkEnd w:id="820"/>
      <w:bookmarkEnd w:id="821"/>
    </w:p>
    <w:p w14:paraId="6A87D45F">
      <w:pPr>
        <w:spacing w:line="360" w:lineRule="auto"/>
        <w:rPr>
          <w:rFonts w:ascii="宋体" w:hAnsi="宋体"/>
          <w:b/>
          <w:szCs w:val="21"/>
          <w:highlight w:val="none"/>
        </w:rPr>
      </w:pPr>
      <w:r>
        <w:rPr>
          <w:rFonts w:hint="eastAsia" w:ascii="宋体" w:hAnsi="宋体"/>
          <w:b/>
          <w:szCs w:val="21"/>
          <w:highlight w:val="none"/>
        </w:rPr>
        <w:t>本款更改为：</w:t>
      </w:r>
    </w:p>
    <w:p w14:paraId="2CAE5797">
      <w:pPr>
        <w:spacing w:line="360" w:lineRule="auto"/>
        <w:jc w:val="left"/>
        <w:rPr>
          <w:rFonts w:ascii="宋体" w:hAnsi="宋体"/>
          <w:b/>
          <w:szCs w:val="21"/>
          <w:highlight w:val="none"/>
        </w:rPr>
      </w:pPr>
      <w:bookmarkStart w:id="822" w:name="_Toc293997012"/>
      <w:r>
        <w:rPr>
          <w:rFonts w:hint="eastAsia" w:ascii="宋体" w:hAnsi="宋体"/>
          <w:b/>
          <w:szCs w:val="21"/>
          <w:highlight w:val="none"/>
        </w:rPr>
        <w:t>合同履行期间，出现清单重大缺项漏项事件的，采用固定总价合同方式的建设工程项目，如存在工程量清单重大漏项或工程量清单重大漏量，各重大漏项漏量在扣减工程量清单虚列项目及虚增工程量的相应价款后由招标</w:t>
      </w:r>
      <w:r>
        <w:rPr>
          <w:rFonts w:ascii="宋体" w:hAnsi="宋体"/>
          <w:b/>
          <w:szCs w:val="21"/>
          <w:highlight w:val="none"/>
        </w:rPr>
        <w:t>人</w:t>
      </w:r>
      <w:r>
        <w:rPr>
          <w:rFonts w:hint="eastAsia" w:ascii="宋体" w:hAnsi="宋体"/>
          <w:b/>
          <w:szCs w:val="21"/>
          <w:highlight w:val="none"/>
        </w:rPr>
        <w:t>予以补偿。。</w:t>
      </w:r>
    </w:p>
    <w:p w14:paraId="752FDD30">
      <w:pPr>
        <w:spacing w:line="360" w:lineRule="auto"/>
        <w:rPr>
          <w:rFonts w:ascii="宋体" w:hAnsi="宋体"/>
          <w:b/>
          <w:szCs w:val="21"/>
          <w:highlight w:val="none"/>
        </w:rPr>
      </w:pPr>
      <w:r>
        <w:rPr>
          <w:rFonts w:hint="eastAsia" w:ascii="宋体" w:hAnsi="宋体"/>
          <w:b/>
          <w:szCs w:val="21"/>
          <w:highlight w:val="none"/>
        </w:rPr>
        <w:t>71.2  调整分部分项工程费的方法</w:t>
      </w:r>
      <w:bookmarkEnd w:id="822"/>
    </w:p>
    <w:p w14:paraId="4C5C2014">
      <w:pPr>
        <w:spacing w:line="360" w:lineRule="auto"/>
        <w:rPr>
          <w:rFonts w:ascii="宋体" w:hAnsi="宋体"/>
          <w:b/>
          <w:szCs w:val="21"/>
          <w:highlight w:val="none"/>
        </w:rPr>
      </w:pPr>
      <w:r>
        <w:rPr>
          <w:rFonts w:hint="eastAsia" w:ascii="宋体" w:hAnsi="宋体"/>
          <w:b/>
          <w:szCs w:val="21"/>
          <w:highlight w:val="none"/>
        </w:rPr>
        <w:t>本款内容更改为：按合同专用条款第71.1款的约定执行。</w:t>
      </w:r>
    </w:p>
    <w:p w14:paraId="7BA84E83">
      <w:pPr>
        <w:spacing w:line="360" w:lineRule="auto"/>
        <w:rPr>
          <w:rFonts w:ascii="宋体" w:hAnsi="宋体"/>
          <w:b/>
          <w:szCs w:val="21"/>
          <w:highlight w:val="none"/>
        </w:rPr>
      </w:pPr>
      <w:bookmarkStart w:id="823" w:name="_Toc362278332"/>
      <w:bookmarkStart w:id="824" w:name="_Toc326853367"/>
      <w:bookmarkStart w:id="825" w:name="_Toc320539142"/>
      <w:bookmarkStart w:id="826" w:name="_Toc308516392"/>
      <w:bookmarkStart w:id="827" w:name="_Toc293997013"/>
      <w:r>
        <w:rPr>
          <w:rFonts w:hint="eastAsia" w:ascii="宋体" w:hAnsi="宋体"/>
          <w:b/>
          <w:szCs w:val="21"/>
          <w:highlight w:val="none"/>
        </w:rPr>
        <w:t>71.3  调整措施项目费的方法</w:t>
      </w:r>
      <w:bookmarkEnd w:id="823"/>
      <w:bookmarkEnd w:id="824"/>
      <w:bookmarkEnd w:id="825"/>
      <w:bookmarkEnd w:id="826"/>
      <w:bookmarkEnd w:id="827"/>
    </w:p>
    <w:p w14:paraId="7254CC05">
      <w:pPr>
        <w:spacing w:line="360" w:lineRule="auto"/>
        <w:rPr>
          <w:rFonts w:ascii="宋体" w:hAnsi="宋体"/>
          <w:szCs w:val="21"/>
          <w:highlight w:val="none"/>
        </w:rPr>
      </w:pPr>
      <w:r>
        <w:rPr>
          <w:rFonts w:hint="eastAsia" w:ascii="宋体" w:hAnsi="宋体"/>
          <w:b/>
          <w:szCs w:val="21"/>
          <w:highlight w:val="none"/>
        </w:rPr>
        <w:t>本款内容更改为：按合同专用条款第71.1款的约定执行。</w:t>
      </w:r>
    </w:p>
    <w:p w14:paraId="5D7CDF99">
      <w:pPr>
        <w:pStyle w:val="6"/>
        <w:rPr>
          <w:highlight w:val="none"/>
        </w:rPr>
      </w:pPr>
      <w:bookmarkStart w:id="828" w:name="_Toc254775550"/>
      <w:bookmarkStart w:id="829" w:name="_Toc273290764"/>
      <w:bookmarkStart w:id="830" w:name="_Toc520715197"/>
      <w:bookmarkStart w:id="831" w:name="_Toc461980534"/>
      <w:bookmarkStart w:id="832" w:name="_Toc271290739"/>
      <w:bookmarkStart w:id="833" w:name="_Toc19486"/>
      <w:r>
        <w:rPr>
          <w:rFonts w:hint="eastAsia"/>
          <w:highlight w:val="none"/>
        </w:rPr>
        <w:t>72、</w:t>
      </w:r>
      <w:r>
        <w:rPr>
          <w:rFonts w:hint="eastAsia"/>
          <w:szCs w:val="24"/>
          <w:highlight w:val="none"/>
        </w:rPr>
        <w:t>工程变更事件</w:t>
      </w:r>
      <w:bookmarkEnd w:id="828"/>
      <w:bookmarkEnd w:id="829"/>
      <w:bookmarkEnd w:id="830"/>
      <w:bookmarkEnd w:id="831"/>
      <w:bookmarkEnd w:id="832"/>
      <w:bookmarkEnd w:id="833"/>
    </w:p>
    <w:p w14:paraId="0DABDC9B">
      <w:pPr>
        <w:spacing w:line="360" w:lineRule="auto"/>
        <w:rPr>
          <w:rFonts w:ascii="宋体" w:hAnsi="宋体"/>
          <w:b/>
          <w:szCs w:val="21"/>
          <w:highlight w:val="none"/>
        </w:rPr>
      </w:pPr>
      <w:bookmarkStart w:id="834" w:name="_Toc293997015"/>
      <w:bookmarkStart w:id="835" w:name="_Toc291700293"/>
      <w:bookmarkStart w:id="836" w:name="_Toc408210442"/>
      <w:bookmarkStart w:id="837" w:name="_Toc345147876"/>
      <w:bookmarkStart w:id="838" w:name="_Toc289852428"/>
      <w:bookmarkStart w:id="839" w:name="_Toc345147392"/>
      <w:r>
        <w:rPr>
          <w:rFonts w:hint="eastAsia" w:ascii="宋体" w:hAnsi="宋体"/>
          <w:b/>
          <w:szCs w:val="21"/>
          <w:highlight w:val="none"/>
        </w:rPr>
        <w:t>72.2 调整分部分项工程费的方法</w:t>
      </w:r>
      <w:bookmarkEnd w:id="834"/>
    </w:p>
    <w:p w14:paraId="65FB0AF8">
      <w:pPr>
        <w:spacing w:line="360" w:lineRule="auto"/>
        <w:rPr>
          <w:rFonts w:ascii="宋体" w:hAnsi="宋体"/>
          <w:b/>
          <w:szCs w:val="21"/>
          <w:highlight w:val="none"/>
        </w:rPr>
      </w:pPr>
      <w:r>
        <w:rPr>
          <w:rFonts w:hint="eastAsia" w:ascii="宋体" w:hAnsi="宋体"/>
          <w:b/>
          <w:szCs w:val="21"/>
          <w:highlight w:val="none"/>
        </w:rPr>
        <w:t>本款变更为：</w:t>
      </w:r>
    </w:p>
    <w:p w14:paraId="6E4C1363">
      <w:pPr>
        <w:spacing w:line="360" w:lineRule="auto"/>
        <w:rPr>
          <w:rFonts w:ascii="宋体" w:hAnsi="宋体"/>
          <w:b/>
          <w:szCs w:val="21"/>
          <w:highlight w:val="none"/>
        </w:rPr>
      </w:pPr>
      <w:r>
        <w:rPr>
          <w:rFonts w:hint="eastAsia" w:ascii="宋体" w:hAnsi="宋体"/>
          <w:b/>
          <w:szCs w:val="21"/>
          <w:highlight w:val="none"/>
        </w:rPr>
        <w:t>工程变更引起分部分项工程项目发生变化，属于第73条规定情况的，按照其规定调整；否则按照按招标文件投标人须知第9.4项规定调整分部分项工程费。</w:t>
      </w:r>
    </w:p>
    <w:p w14:paraId="39A65C14">
      <w:pPr>
        <w:spacing w:line="360" w:lineRule="auto"/>
        <w:rPr>
          <w:rFonts w:ascii="宋体" w:hAnsi="宋体"/>
          <w:b/>
          <w:szCs w:val="21"/>
          <w:highlight w:val="none"/>
        </w:rPr>
      </w:pPr>
      <w:r>
        <w:rPr>
          <w:rFonts w:hint="eastAsia" w:ascii="宋体" w:hAnsi="宋体"/>
          <w:b/>
          <w:szCs w:val="21"/>
          <w:highlight w:val="none"/>
        </w:rPr>
        <w:t>报价浮动率L=（1-中标价÷经审核的招标控制价）×100%，上式中标价及经审核的招标控制价均不含安全防护、文明施工措施等单列费。</w:t>
      </w:r>
    </w:p>
    <w:p w14:paraId="2EEEB666">
      <w:pPr>
        <w:spacing w:line="360" w:lineRule="auto"/>
        <w:rPr>
          <w:rFonts w:ascii="宋体" w:hAnsi="宋体"/>
          <w:b/>
          <w:szCs w:val="21"/>
          <w:highlight w:val="none"/>
        </w:rPr>
      </w:pPr>
      <w:r>
        <w:rPr>
          <w:rFonts w:hint="eastAsia" w:ascii="宋体" w:hAnsi="宋体"/>
          <w:b/>
          <w:szCs w:val="21"/>
          <w:highlight w:val="none"/>
        </w:rPr>
        <w:t>72.3 调整措施项目费的方法</w:t>
      </w:r>
    </w:p>
    <w:p w14:paraId="7F8A614B">
      <w:pPr>
        <w:spacing w:line="360" w:lineRule="auto"/>
        <w:rPr>
          <w:rFonts w:ascii="宋体" w:hAnsi="宋体"/>
          <w:b/>
          <w:szCs w:val="21"/>
          <w:highlight w:val="none"/>
        </w:rPr>
      </w:pPr>
      <w:r>
        <w:rPr>
          <w:rFonts w:hint="eastAsia" w:ascii="宋体" w:hAnsi="宋体"/>
          <w:b/>
          <w:szCs w:val="21"/>
          <w:highlight w:val="none"/>
        </w:rPr>
        <w:t>本款更改为：</w:t>
      </w:r>
    </w:p>
    <w:p w14:paraId="17CEC16A">
      <w:pPr>
        <w:spacing w:line="360" w:lineRule="auto"/>
        <w:rPr>
          <w:rFonts w:ascii="宋体" w:hAnsi="宋体"/>
          <w:b/>
          <w:szCs w:val="21"/>
          <w:highlight w:val="none"/>
        </w:rPr>
      </w:pPr>
      <w:r>
        <w:rPr>
          <w:rFonts w:hint="eastAsia" w:ascii="宋体" w:hAnsi="宋体"/>
          <w:b/>
          <w:szCs w:val="21"/>
          <w:highlight w:val="none"/>
        </w:rPr>
        <w:t>工程变更引起的其他措施项目发生变化的，应按照招标文件投标人须知第9.4项规定调整。</w:t>
      </w:r>
    </w:p>
    <w:bookmarkEnd w:id="835"/>
    <w:bookmarkEnd w:id="836"/>
    <w:bookmarkEnd w:id="837"/>
    <w:bookmarkEnd w:id="838"/>
    <w:bookmarkEnd w:id="839"/>
    <w:p w14:paraId="41A121DE">
      <w:pPr>
        <w:spacing w:line="360" w:lineRule="auto"/>
        <w:rPr>
          <w:rFonts w:ascii="宋体" w:hAnsi="宋体"/>
          <w:b/>
          <w:szCs w:val="21"/>
          <w:highlight w:val="none"/>
        </w:rPr>
      </w:pPr>
      <w:r>
        <w:rPr>
          <w:rFonts w:hint="eastAsia" w:ascii="宋体" w:hAnsi="宋体"/>
          <w:b/>
          <w:szCs w:val="21"/>
          <w:highlight w:val="none"/>
        </w:rPr>
        <w:t>72.4 调整承包人报价偏差的方法</w:t>
      </w:r>
    </w:p>
    <w:p w14:paraId="1CC3BD0A">
      <w:pPr>
        <w:spacing w:line="360" w:lineRule="auto"/>
        <w:rPr>
          <w:rFonts w:ascii="宋体" w:hAnsi="宋体"/>
          <w:b/>
          <w:szCs w:val="21"/>
          <w:highlight w:val="none"/>
        </w:rPr>
      </w:pPr>
      <w:r>
        <w:rPr>
          <w:rFonts w:hint="eastAsia" w:ascii="宋体" w:hAnsi="宋体"/>
          <w:b/>
          <w:szCs w:val="21"/>
          <w:highlight w:val="none"/>
        </w:rPr>
        <w:t>本款更改为：</w:t>
      </w:r>
    </w:p>
    <w:p w14:paraId="7B4A7342">
      <w:pPr>
        <w:spacing w:line="360" w:lineRule="auto"/>
        <w:rPr>
          <w:rFonts w:ascii="宋体" w:hAnsi="宋体"/>
          <w:b/>
          <w:szCs w:val="21"/>
          <w:highlight w:val="none"/>
        </w:rPr>
      </w:pPr>
      <w:r>
        <w:rPr>
          <w:rFonts w:hint="eastAsia" w:ascii="宋体" w:hAnsi="宋体"/>
          <w:b/>
          <w:szCs w:val="21"/>
          <w:highlight w:val="none"/>
        </w:rPr>
        <w:t>承包人应对工程量清单的单价按国家相关定额进行均衡报价，不得将先期施工的项目报价过高，而将后期施工的项目报价过低；也不得将可能增加工程量的项目报价过高，而将可能减少工程量的项目报价过低。对于变更增减工程中对应工程项目存在严重不平衡报价时，变更增减工程应按调整后的单价执行。严重不平衡报价的</w:t>
      </w:r>
      <w:r>
        <w:rPr>
          <w:rFonts w:ascii="宋体" w:hAnsi="宋体"/>
          <w:b/>
          <w:szCs w:val="21"/>
          <w:highlight w:val="none"/>
        </w:rPr>
        <w:t>应当按如下原则进行修正和处理</w:t>
      </w:r>
      <w:r>
        <w:rPr>
          <w:rFonts w:hint="eastAsia" w:ascii="宋体" w:hAnsi="宋体"/>
          <w:b/>
          <w:szCs w:val="21"/>
          <w:highlight w:val="none"/>
        </w:rPr>
        <w:t>：承包</w:t>
      </w:r>
      <w:r>
        <w:rPr>
          <w:rFonts w:ascii="宋体" w:hAnsi="宋体"/>
          <w:b/>
          <w:szCs w:val="21"/>
          <w:highlight w:val="none"/>
        </w:rPr>
        <w:t>人</w:t>
      </w:r>
      <w:r>
        <w:rPr>
          <w:rFonts w:hint="eastAsia" w:ascii="宋体" w:hAnsi="宋体"/>
          <w:b/>
          <w:szCs w:val="21"/>
          <w:highlight w:val="none"/>
        </w:rPr>
        <w:t>投标价分部分项清单项目填报的综合单价(PO)与发包</w:t>
      </w:r>
      <w:r>
        <w:rPr>
          <w:rFonts w:ascii="宋体" w:hAnsi="宋体"/>
          <w:b/>
          <w:szCs w:val="21"/>
          <w:highlight w:val="none"/>
        </w:rPr>
        <w:t>人</w:t>
      </w:r>
      <w:r>
        <w:rPr>
          <w:rFonts w:hint="eastAsia" w:ascii="宋体" w:hAnsi="宋体"/>
          <w:b/>
          <w:szCs w:val="21"/>
          <w:highlight w:val="none"/>
        </w:rPr>
        <w:t>招标控制价或预算价相应清单项目的综合单价(P1)偏差超过一定幅度时，即当P0＜P1×(1-L)×(l-15%)或P0＞P1×(1+15%)时（L为报价浮动率），承包</w:t>
      </w:r>
      <w:r>
        <w:rPr>
          <w:rFonts w:ascii="宋体" w:hAnsi="宋体"/>
          <w:b/>
          <w:szCs w:val="21"/>
          <w:highlight w:val="none"/>
        </w:rPr>
        <w:t>人</w:t>
      </w:r>
      <w:r>
        <w:rPr>
          <w:rFonts w:hint="eastAsia" w:ascii="宋体" w:hAnsi="宋体"/>
          <w:b/>
          <w:szCs w:val="21"/>
          <w:highlight w:val="none"/>
        </w:rPr>
        <w:t>填报的综合单价P0视为严重不平衡报价。</w:t>
      </w:r>
    </w:p>
    <w:p w14:paraId="310FC324">
      <w:pPr>
        <w:spacing w:line="360" w:lineRule="auto"/>
        <w:rPr>
          <w:rFonts w:ascii="宋体" w:hAnsi="宋体"/>
          <w:b/>
          <w:szCs w:val="21"/>
          <w:highlight w:val="none"/>
        </w:rPr>
      </w:pPr>
      <w:r>
        <w:rPr>
          <w:rFonts w:hint="eastAsia" w:ascii="宋体" w:hAnsi="宋体"/>
          <w:b/>
          <w:szCs w:val="21"/>
          <w:highlight w:val="none"/>
        </w:rPr>
        <w:t>严重不平衡报价应</w:t>
      </w:r>
      <w:r>
        <w:rPr>
          <w:rFonts w:ascii="宋体" w:hAnsi="宋体"/>
          <w:b/>
          <w:szCs w:val="21"/>
          <w:highlight w:val="none"/>
        </w:rPr>
        <w:t>按照如下规定</w:t>
      </w:r>
      <w:r>
        <w:rPr>
          <w:rFonts w:hint="eastAsia" w:ascii="宋体" w:hAnsi="宋体"/>
          <w:b/>
          <w:szCs w:val="21"/>
          <w:highlight w:val="none"/>
        </w:rPr>
        <w:t>调整：</w:t>
      </w:r>
    </w:p>
    <w:p w14:paraId="07488625">
      <w:pPr>
        <w:spacing w:line="360" w:lineRule="auto"/>
        <w:rPr>
          <w:rFonts w:ascii="宋体" w:hAnsi="宋体"/>
          <w:b/>
          <w:szCs w:val="21"/>
          <w:highlight w:val="none"/>
        </w:rPr>
      </w:pPr>
      <w:r>
        <w:rPr>
          <w:rFonts w:hint="eastAsia" w:ascii="宋体" w:hAnsi="宋体"/>
          <w:b/>
          <w:szCs w:val="21"/>
          <w:highlight w:val="none"/>
        </w:rPr>
        <w:t>（1）当P0＜P1×(1-L)×(l-15%)时，该类</w:t>
      </w:r>
      <w:r>
        <w:rPr>
          <w:rFonts w:ascii="宋体" w:hAnsi="宋体"/>
          <w:b/>
          <w:szCs w:val="21"/>
          <w:highlight w:val="none"/>
        </w:rPr>
        <w:t>项目的综合单价</w:t>
      </w:r>
      <w:r>
        <w:rPr>
          <w:rFonts w:hint="eastAsia" w:ascii="宋体" w:hAnsi="宋体"/>
          <w:b/>
          <w:szCs w:val="21"/>
          <w:highlight w:val="none"/>
        </w:rPr>
        <w:t>按照P</w:t>
      </w:r>
      <w:r>
        <w:rPr>
          <w:rFonts w:ascii="宋体" w:hAnsi="宋体"/>
          <w:b/>
          <w:szCs w:val="21"/>
          <w:highlight w:val="none"/>
        </w:rPr>
        <w:t>1</w:t>
      </w:r>
      <w:r>
        <w:rPr>
          <w:rFonts w:hint="eastAsia" w:ascii="宋体" w:hAnsi="宋体"/>
          <w:b/>
          <w:szCs w:val="21"/>
          <w:highlight w:val="none"/>
        </w:rPr>
        <w:t>×(1-L</w:t>
      </w:r>
      <w:r>
        <w:rPr>
          <w:rFonts w:ascii="宋体" w:hAnsi="宋体"/>
          <w:b/>
          <w:szCs w:val="21"/>
          <w:highlight w:val="none"/>
        </w:rPr>
        <w:t>)</w:t>
      </w:r>
      <w:r>
        <w:rPr>
          <w:rFonts w:hint="eastAsia" w:ascii="宋体" w:hAnsi="宋体"/>
          <w:b/>
          <w:szCs w:val="21"/>
          <w:highlight w:val="none"/>
        </w:rPr>
        <w:t>×(l-15%)调整。</w:t>
      </w:r>
    </w:p>
    <w:p w14:paraId="3BF86ED5">
      <w:pPr>
        <w:spacing w:line="360" w:lineRule="auto"/>
        <w:rPr>
          <w:rFonts w:ascii="宋体" w:hAnsi="宋体"/>
          <w:b/>
          <w:szCs w:val="21"/>
          <w:highlight w:val="none"/>
        </w:rPr>
      </w:pPr>
      <w:r>
        <w:rPr>
          <w:rFonts w:hint="eastAsia" w:ascii="宋体" w:hAnsi="宋体"/>
          <w:b/>
          <w:szCs w:val="21"/>
          <w:highlight w:val="none"/>
        </w:rPr>
        <w:t>（</w:t>
      </w:r>
      <w:r>
        <w:rPr>
          <w:rFonts w:ascii="宋体" w:hAnsi="宋体"/>
          <w:b/>
          <w:szCs w:val="21"/>
          <w:highlight w:val="none"/>
        </w:rPr>
        <w:t>2</w:t>
      </w:r>
      <w:r>
        <w:rPr>
          <w:rFonts w:hint="eastAsia" w:ascii="宋体" w:hAnsi="宋体"/>
          <w:b/>
          <w:szCs w:val="21"/>
          <w:highlight w:val="none"/>
        </w:rPr>
        <w:t>）当P0＞P1×(1+15%)时，该</w:t>
      </w:r>
      <w:r>
        <w:rPr>
          <w:rFonts w:ascii="宋体" w:hAnsi="宋体"/>
          <w:b/>
          <w:szCs w:val="21"/>
          <w:highlight w:val="none"/>
        </w:rPr>
        <w:t>类项目的综合单价按照</w:t>
      </w:r>
      <w:r>
        <w:rPr>
          <w:rFonts w:hint="eastAsia" w:ascii="宋体" w:hAnsi="宋体"/>
          <w:b/>
          <w:szCs w:val="21"/>
          <w:highlight w:val="none"/>
        </w:rPr>
        <w:t>P</w:t>
      </w:r>
      <w:r>
        <w:rPr>
          <w:rFonts w:ascii="宋体" w:hAnsi="宋体"/>
          <w:b/>
          <w:szCs w:val="21"/>
          <w:highlight w:val="none"/>
        </w:rPr>
        <w:t>1</w:t>
      </w:r>
      <w:r>
        <w:rPr>
          <w:rFonts w:hint="eastAsia" w:ascii="宋体" w:hAnsi="宋体"/>
          <w:b/>
          <w:szCs w:val="21"/>
          <w:highlight w:val="none"/>
        </w:rPr>
        <w:t>×(l</w:t>
      </w:r>
      <w:r>
        <w:rPr>
          <w:rFonts w:ascii="宋体" w:hAnsi="宋体"/>
          <w:b/>
          <w:szCs w:val="21"/>
          <w:highlight w:val="none"/>
        </w:rPr>
        <w:t>+</w:t>
      </w:r>
      <w:r>
        <w:rPr>
          <w:rFonts w:hint="eastAsia" w:ascii="宋体" w:hAnsi="宋体"/>
          <w:b/>
          <w:szCs w:val="21"/>
          <w:highlight w:val="none"/>
        </w:rPr>
        <w:t>15%)调整。</w:t>
      </w:r>
    </w:p>
    <w:p w14:paraId="358FB40F">
      <w:pPr>
        <w:spacing w:line="360" w:lineRule="auto"/>
        <w:rPr>
          <w:rFonts w:ascii="宋体" w:hAnsi="宋体"/>
          <w:szCs w:val="21"/>
          <w:highlight w:val="none"/>
        </w:rPr>
      </w:pPr>
      <w:r>
        <w:rPr>
          <w:rFonts w:hint="eastAsia" w:ascii="宋体" w:hAnsi="宋体"/>
          <w:b/>
          <w:szCs w:val="21"/>
          <w:highlight w:val="none"/>
        </w:rPr>
        <w:t>调整后的综合单价只是作为变更增减工程结算单价的依据，合同内完成工程量价款的计价应按调整前中标</w:t>
      </w:r>
      <w:r>
        <w:rPr>
          <w:rFonts w:ascii="宋体" w:hAnsi="宋体"/>
          <w:b/>
          <w:szCs w:val="21"/>
          <w:highlight w:val="none"/>
        </w:rPr>
        <w:t>人</w:t>
      </w:r>
      <w:r>
        <w:rPr>
          <w:rFonts w:hint="eastAsia" w:ascii="宋体" w:hAnsi="宋体"/>
          <w:b/>
          <w:szCs w:val="21"/>
          <w:highlight w:val="none"/>
        </w:rPr>
        <w:t>投标单价执行。</w:t>
      </w:r>
    </w:p>
    <w:p w14:paraId="0A305BEC">
      <w:pPr>
        <w:pStyle w:val="6"/>
        <w:rPr>
          <w:highlight w:val="none"/>
        </w:rPr>
      </w:pPr>
      <w:bookmarkStart w:id="840" w:name="_Toc271290749"/>
      <w:bookmarkStart w:id="841" w:name="_Toc31086"/>
      <w:bookmarkStart w:id="842" w:name="_Toc254775551"/>
      <w:bookmarkStart w:id="843" w:name="_Toc273290775"/>
      <w:bookmarkStart w:id="844" w:name="_Toc520715207"/>
      <w:bookmarkStart w:id="845" w:name="_Toc461980545"/>
      <w:r>
        <w:rPr>
          <w:rFonts w:hint="eastAsia"/>
          <w:highlight w:val="none"/>
        </w:rPr>
        <w:t>73、</w:t>
      </w:r>
      <w:r>
        <w:rPr>
          <w:rFonts w:hint="eastAsia"/>
          <w:szCs w:val="24"/>
          <w:highlight w:val="none"/>
        </w:rPr>
        <w:t>工程量偏差事件</w:t>
      </w:r>
      <w:bookmarkEnd w:id="840"/>
      <w:bookmarkEnd w:id="841"/>
      <w:bookmarkEnd w:id="842"/>
      <w:bookmarkEnd w:id="843"/>
      <w:bookmarkEnd w:id="844"/>
      <w:bookmarkEnd w:id="845"/>
    </w:p>
    <w:p w14:paraId="0D338FFB">
      <w:pPr>
        <w:spacing w:line="360" w:lineRule="auto"/>
        <w:rPr>
          <w:rFonts w:ascii="宋体" w:hAnsi="宋体" w:cs="宋体"/>
          <w:szCs w:val="21"/>
          <w:highlight w:val="none"/>
        </w:rPr>
      </w:pPr>
      <w:r>
        <w:rPr>
          <w:rFonts w:hint="eastAsia" w:ascii="宋体" w:hAnsi="宋体" w:cs="宋体"/>
          <w:szCs w:val="21"/>
          <w:highlight w:val="none"/>
        </w:rPr>
        <w:t>73.1  工程量偏差的价款调整</w:t>
      </w:r>
    </w:p>
    <w:p w14:paraId="66B6FBD5">
      <w:pPr>
        <w:spacing w:line="360" w:lineRule="auto"/>
        <w:rPr>
          <w:rFonts w:ascii="宋体" w:hAnsi="宋体"/>
          <w:szCs w:val="21"/>
          <w:highlight w:val="none"/>
        </w:rPr>
      </w:pPr>
      <w:r>
        <w:rPr>
          <w:rFonts w:hint="eastAsia" w:ascii="宋体" w:hAnsi="宋体"/>
          <w:szCs w:val="21"/>
          <w:highlight w:val="none"/>
        </w:rPr>
        <w:t>本款更改为：</w:t>
      </w:r>
    </w:p>
    <w:p w14:paraId="564B0642">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1）工程费变更估价。本项目施工图审查通过后，根据最终确认的施工图纸，按本合同约定确定合同价格清单，本合同所提及的“工程变更”均指实际施工相对于施工图纸及合同价格清单的变更。由承包人编制变更预算，报监理人、发包人审核。变更定价原则如下：</w:t>
      </w:r>
    </w:p>
    <w:p w14:paraId="136900C8">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①合同价格清单中已有适用或类似且合理的综合单价或价格的，则按已有的综合单价或价格执行。</w:t>
      </w:r>
    </w:p>
    <w:p w14:paraId="328439E8">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②若合同价格清单中没有适用的综合单价或价格的，则：</w:t>
      </w:r>
      <w:r>
        <w:rPr>
          <w:rFonts w:ascii="宋体" w:hAnsi="宋体" w:cs="宋体"/>
          <w:kern w:val="0"/>
          <w:szCs w:val="21"/>
          <w:highlight w:val="none"/>
        </w:rPr>
        <w:t xml:space="preserve"> </w:t>
      </w:r>
    </w:p>
    <w:p w14:paraId="5C0115DC">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a、合同价格清单中已有类似项目，只是局部尺寸发生变化的，则按比例调整价格；只是材料发生变化，则仅调整价差。</w:t>
      </w:r>
    </w:p>
    <w:p w14:paraId="07B52A1A">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b、合同价格清单没有类似项目的，国家及地方相关定额有的，应套用定额价格，并按中标下浮率下浮。参考定额优先次序为《广东省房屋建筑和市政修缮工程综合定额（2018）》、《广东省市政工程综合定额（2018年）》、 《广东省安装工程综合定额（2018年）》、《广东省园林绿化工程综合定额（2018年）》、《广东省建筑与装饰工程综合定额（2010年）》2018年）》及其他定额</w:t>
      </w:r>
      <w:r>
        <w:rPr>
          <w:rFonts w:hint="eastAsia" w:ascii="宋体" w:hAnsi="宋体"/>
          <w:szCs w:val="21"/>
          <w:highlight w:val="none"/>
        </w:rPr>
        <w:t>。</w:t>
      </w:r>
    </w:p>
    <w:p w14:paraId="7EFF590F">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c、合同价格清单中没有类似项目的，也没有相关定额可套用的，应按市场询价获得价格，其中主材费的定价原则同本合同第73.1款约定原则。</w:t>
      </w:r>
    </w:p>
    <w:p w14:paraId="63C73D19">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（2）</w:t>
      </w:r>
      <w:r>
        <w:rPr>
          <w:rFonts w:hint="eastAsia" w:ascii="宋体" w:hAnsi="宋体"/>
          <w:szCs w:val="21"/>
          <w:highlight w:val="none"/>
        </w:rPr>
        <w:t>绿色施工安全防护措施费</w:t>
      </w:r>
      <w:r>
        <w:rPr>
          <w:rFonts w:hint="eastAsia" w:ascii="宋体" w:hAnsi="宋体" w:cs="宋体"/>
          <w:kern w:val="0"/>
          <w:szCs w:val="21"/>
          <w:highlight w:val="none"/>
        </w:rPr>
        <w:t>结算时按实计算。</w:t>
      </w:r>
    </w:p>
    <w:p w14:paraId="56CA8DEE">
      <w:pPr>
        <w:spacing w:line="360" w:lineRule="auto"/>
        <w:rPr>
          <w:rFonts w:ascii="宋体" w:hAnsi="宋体"/>
          <w:szCs w:val="21"/>
          <w:highlight w:val="none"/>
        </w:rPr>
      </w:pPr>
      <w:r>
        <w:rPr>
          <w:rFonts w:hint="eastAsia" w:ascii="宋体" w:hAnsi="宋体"/>
          <w:szCs w:val="21"/>
          <w:highlight w:val="none"/>
        </w:rPr>
        <w:t>73.2  工程量的偏差，导致分部分项工程工程费结算价调整的方法：</w:t>
      </w:r>
    </w:p>
    <w:p w14:paraId="5423C427">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按合同通用条款本款的规定调整。</w:t>
      </w:r>
    </w:p>
    <w:p w14:paraId="32207634">
      <w:pPr>
        <w:spacing w:line="360" w:lineRule="auto"/>
        <w:rPr>
          <w:rFonts w:ascii="宋体" w:hAnsi="宋体"/>
          <w:szCs w:val="21"/>
          <w:highlight w:val="none"/>
        </w:rPr>
      </w:pPr>
      <w:r>
        <w:rPr>
          <w:rFonts w:hint="eastAsia" w:ascii="宋体" w:hAnsi="宋体"/>
          <w:szCs w:val="21"/>
          <w:highlight w:val="none"/>
        </w:rPr>
        <w:t>■  按以下方法调整：</w:t>
      </w:r>
      <w:r>
        <w:rPr>
          <w:rFonts w:hint="eastAsia" w:ascii="宋体" w:hAnsi="宋体"/>
          <w:b/>
          <w:szCs w:val="21"/>
          <w:highlight w:val="none"/>
        </w:rPr>
        <w:t>按本合同专用条款73.1款的约定执行</w:t>
      </w:r>
      <w:r>
        <w:rPr>
          <w:rFonts w:hint="eastAsia" w:ascii="宋体" w:hAnsi="宋体"/>
          <w:szCs w:val="21"/>
          <w:highlight w:val="none"/>
        </w:rPr>
        <w:t>。</w:t>
      </w:r>
    </w:p>
    <w:p w14:paraId="6C0F5526">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不作调整。</w:t>
      </w:r>
    </w:p>
    <w:p w14:paraId="64858EB9">
      <w:pPr>
        <w:spacing w:line="360" w:lineRule="auto"/>
        <w:rPr>
          <w:rFonts w:ascii="宋体" w:hAnsi="宋体"/>
          <w:szCs w:val="21"/>
          <w:highlight w:val="none"/>
        </w:rPr>
      </w:pPr>
      <w:r>
        <w:rPr>
          <w:rFonts w:hint="eastAsia" w:ascii="宋体" w:hAnsi="宋体"/>
          <w:szCs w:val="21"/>
          <w:highlight w:val="none"/>
        </w:rPr>
        <w:t>73.3  工程量的偏差，导致措施项目费调整的方法：</w:t>
      </w:r>
    </w:p>
    <w:p w14:paraId="2CE28B11">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按合同通用条款本款的规定调整。</w:t>
      </w:r>
    </w:p>
    <w:p w14:paraId="600B77C9">
      <w:pPr>
        <w:spacing w:line="360" w:lineRule="auto"/>
        <w:rPr>
          <w:rFonts w:ascii="宋体" w:hAnsi="宋体"/>
          <w:szCs w:val="21"/>
          <w:highlight w:val="none"/>
        </w:rPr>
      </w:pPr>
      <w:r>
        <w:rPr>
          <w:rFonts w:hint="eastAsia" w:ascii="宋体" w:hAnsi="宋体"/>
          <w:szCs w:val="21"/>
          <w:highlight w:val="none"/>
        </w:rPr>
        <w:t>■按以下方法调整：</w:t>
      </w:r>
      <w:r>
        <w:rPr>
          <w:rFonts w:hint="eastAsia" w:ascii="宋体" w:hAnsi="宋体"/>
          <w:b/>
          <w:szCs w:val="21"/>
          <w:highlight w:val="none"/>
        </w:rPr>
        <w:t>按本合同专用条款73.1款的约定执行</w:t>
      </w:r>
      <w:r>
        <w:rPr>
          <w:rFonts w:hint="eastAsia" w:ascii="宋体" w:hAnsi="宋体"/>
          <w:szCs w:val="21"/>
          <w:highlight w:val="none"/>
        </w:rPr>
        <w:t>。</w:t>
      </w:r>
    </w:p>
    <w:p w14:paraId="311D6FA8">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不作调整。</w:t>
      </w:r>
    </w:p>
    <w:p w14:paraId="3C7E4B1B">
      <w:pPr>
        <w:pStyle w:val="6"/>
        <w:rPr>
          <w:highlight w:val="none"/>
        </w:rPr>
      </w:pPr>
      <w:bookmarkStart w:id="846" w:name="_Toc273290780"/>
      <w:bookmarkStart w:id="847" w:name="_Toc32553"/>
      <w:bookmarkStart w:id="848" w:name="_Toc271290754"/>
      <w:bookmarkStart w:id="849" w:name="_Toc254775552"/>
      <w:bookmarkStart w:id="850" w:name="_Toc461980550"/>
      <w:bookmarkStart w:id="851" w:name="_Toc520715212"/>
      <w:r>
        <w:rPr>
          <w:rFonts w:hint="eastAsia"/>
          <w:highlight w:val="none"/>
        </w:rPr>
        <w:t>75、</w:t>
      </w:r>
      <w:r>
        <w:rPr>
          <w:rFonts w:hint="eastAsia"/>
          <w:szCs w:val="24"/>
          <w:highlight w:val="none"/>
        </w:rPr>
        <w:t>现场签证事件</w:t>
      </w:r>
      <w:bookmarkEnd w:id="846"/>
      <w:bookmarkEnd w:id="847"/>
      <w:bookmarkEnd w:id="848"/>
      <w:bookmarkEnd w:id="849"/>
      <w:bookmarkEnd w:id="850"/>
      <w:bookmarkEnd w:id="851"/>
    </w:p>
    <w:p w14:paraId="2C9DA6AB">
      <w:pPr>
        <w:spacing w:line="360" w:lineRule="auto"/>
        <w:rPr>
          <w:rFonts w:ascii="宋体" w:hAnsi="宋体"/>
          <w:highlight w:val="none"/>
        </w:rPr>
      </w:pPr>
      <w:bookmarkStart w:id="852" w:name="_Toc259494216"/>
      <w:bookmarkStart w:id="853" w:name="_Toc44235739"/>
      <w:r>
        <w:rPr>
          <w:rFonts w:hint="eastAsia" w:ascii="宋体" w:hAnsi="宋体"/>
          <w:highlight w:val="none"/>
        </w:rPr>
        <w:t>75.3  现场签证报告确认约定的时间改为：</w:t>
      </w:r>
      <w:bookmarkEnd w:id="852"/>
      <w:r>
        <w:rPr>
          <w:rFonts w:hint="eastAsia" w:ascii="宋体" w:hAnsi="宋体"/>
          <w:b/>
          <w:highlight w:val="none"/>
        </w:rPr>
        <w:t>按通用条款约定执行。</w:t>
      </w:r>
      <w:bookmarkEnd w:id="853"/>
    </w:p>
    <w:p w14:paraId="0341D9E4">
      <w:pPr>
        <w:pStyle w:val="6"/>
        <w:rPr>
          <w:highlight w:val="none"/>
        </w:rPr>
      </w:pPr>
      <w:bookmarkStart w:id="854" w:name="_Toc254775553"/>
      <w:bookmarkStart w:id="855" w:name="_Toc271290756"/>
      <w:bookmarkStart w:id="856" w:name="_Toc9516"/>
      <w:bookmarkStart w:id="857" w:name="_Toc461980552"/>
      <w:bookmarkStart w:id="858" w:name="_Toc520715214"/>
      <w:bookmarkStart w:id="859" w:name="_Toc273290782"/>
      <w:r>
        <w:rPr>
          <w:rFonts w:hint="eastAsia"/>
          <w:highlight w:val="none"/>
        </w:rPr>
        <w:t>76、</w:t>
      </w:r>
      <w:r>
        <w:rPr>
          <w:rFonts w:hint="eastAsia"/>
          <w:szCs w:val="24"/>
          <w:highlight w:val="none"/>
        </w:rPr>
        <w:t>物价涨落事件</w:t>
      </w:r>
      <w:bookmarkEnd w:id="854"/>
      <w:bookmarkEnd w:id="855"/>
      <w:bookmarkEnd w:id="856"/>
      <w:bookmarkEnd w:id="857"/>
      <w:bookmarkEnd w:id="858"/>
      <w:bookmarkEnd w:id="859"/>
    </w:p>
    <w:p w14:paraId="471A617C">
      <w:pPr>
        <w:spacing w:line="360" w:lineRule="auto"/>
        <w:rPr>
          <w:rFonts w:ascii="宋体" w:hAnsi="宋体"/>
          <w:highlight w:val="none"/>
        </w:rPr>
      </w:pPr>
      <w:bookmarkStart w:id="860" w:name="_Toc283188351"/>
      <w:bookmarkStart w:id="861" w:name="_Toc259494218"/>
      <w:bookmarkStart w:id="862" w:name="_Toc279710411"/>
      <w:bookmarkStart w:id="863" w:name="_Toc404593011"/>
      <w:bookmarkStart w:id="864" w:name="_Toc44235740"/>
      <w:bookmarkStart w:id="865" w:name="_Toc404592651"/>
      <w:r>
        <w:rPr>
          <w:rFonts w:hint="eastAsia" w:ascii="宋体" w:hAnsi="宋体"/>
          <w:highlight w:val="none"/>
        </w:rPr>
        <w:t>76.2  调整</w:t>
      </w:r>
      <w:bookmarkEnd w:id="860"/>
      <w:bookmarkEnd w:id="861"/>
      <w:bookmarkEnd w:id="862"/>
      <w:r>
        <w:rPr>
          <w:rFonts w:hint="eastAsia" w:ascii="宋体" w:hAnsi="宋体"/>
          <w:highlight w:val="none"/>
        </w:rPr>
        <w:t>人工费的方法</w:t>
      </w:r>
      <w:bookmarkEnd w:id="863"/>
      <w:bookmarkEnd w:id="864"/>
      <w:bookmarkEnd w:id="865"/>
    </w:p>
    <w:p w14:paraId="204227CB">
      <w:pPr>
        <w:spacing w:line="360" w:lineRule="auto"/>
        <w:rPr>
          <w:rFonts w:ascii="宋体" w:hAnsi="宋体"/>
          <w:highlight w:val="none"/>
        </w:rPr>
      </w:pPr>
      <w:bookmarkStart w:id="866" w:name="_Toc44235741"/>
      <w:r>
        <w:rPr>
          <w:rFonts w:hint="eastAsia" w:ascii="宋体" w:hAnsi="宋体"/>
          <w:highlight w:val="none"/>
        </w:rPr>
        <w:t>本条增加内容：因承包人原因造成工期滞后，超出合同工期导致的人工费增加，发包人不予调整。</w:t>
      </w:r>
      <w:bookmarkEnd w:id="866"/>
    </w:p>
    <w:p w14:paraId="35A4A571">
      <w:pPr>
        <w:spacing w:line="360" w:lineRule="auto"/>
        <w:rPr>
          <w:rFonts w:ascii="宋体" w:hAnsi="宋体"/>
          <w:highlight w:val="none"/>
        </w:rPr>
      </w:pPr>
      <w:bookmarkStart w:id="867" w:name="_Toc44235742"/>
      <w:r>
        <w:rPr>
          <w:rFonts w:hint="eastAsia" w:ascii="宋体" w:hAnsi="宋体"/>
          <w:highlight w:val="none"/>
        </w:rPr>
        <w:t>76.3 调整承包人采购材料设备的材料设备、施工机械费的方法</w:t>
      </w:r>
      <w:bookmarkEnd w:id="867"/>
    </w:p>
    <w:p w14:paraId="3F8E0FBE">
      <w:pPr>
        <w:spacing w:line="360" w:lineRule="auto"/>
        <w:rPr>
          <w:rFonts w:ascii="宋体" w:hAnsi="宋体"/>
          <w:highlight w:val="none"/>
        </w:rPr>
      </w:pPr>
      <w:bookmarkStart w:id="868" w:name="_Toc44235743"/>
      <w:r>
        <w:rPr>
          <w:rFonts w:ascii="宋体" w:hAnsi="宋体"/>
          <w:highlight w:val="none"/>
        </w:rPr>
        <w:t>□</w:t>
      </w:r>
      <w:r>
        <w:rPr>
          <w:rFonts w:hint="eastAsia" w:ascii="宋体" w:hAnsi="宋体"/>
          <w:highlight w:val="none"/>
        </w:rPr>
        <w:t xml:space="preserve">  合同价款不因物价涨落而调整的，则本款不适用。</w:t>
      </w:r>
      <w:bookmarkEnd w:id="868"/>
    </w:p>
    <w:p w14:paraId="55C9B755">
      <w:pPr>
        <w:spacing w:line="360" w:lineRule="auto"/>
        <w:rPr>
          <w:rFonts w:ascii="宋体" w:hAnsi="宋体"/>
          <w:highlight w:val="none"/>
        </w:rPr>
      </w:pPr>
      <w:bookmarkStart w:id="869" w:name="_Toc44235744"/>
      <w:r>
        <w:rPr>
          <w:rFonts w:ascii="宋体" w:hAnsi="宋体"/>
          <w:highlight w:val="none"/>
        </w:rPr>
        <w:t>□</w:t>
      </w:r>
      <w:r>
        <w:rPr>
          <w:rFonts w:hint="eastAsia" w:ascii="宋体" w:hAnsi="宋体"/>
          <w:highlight w:val="none"/>
        </w:rPr>
        <w:t xml:space="preserve">  价格系数法，物价涨落超过通用条款规定的幅度，应调整合同价款，调整数据约定如下：</w:t>
      </w:r>
      <w:bookmarkEnd w:id="869"/>
    </w:p>
    <w:p w14:paraId="4D890B96">
      <w:pPr>
        <w:spacing w:line="360" w:lineRule="auto"/>
        <w:rPr>
          <w:rFonts w:ascii="宋体" w:hAnsi="宋体"/>
          <w:highlight w:val="none"/>
        </w:rPr>
      </w:pPr>
      <w:bookmarkStart w:id="870" w:name="_Toc44235745"/>
      <w:r>
        <w:rPr>
          <w:rFonts w:hint="eastAsia" w:ascii="宋体" w:hAnsi="宋体"/>
          <w:highlight w:val="none"/>
        </w:rPr>
        <w:t>(1) 固定系数a为</w:t>
      </w:r>
      <w:r>
        <w:rPr>
          <w:rFonts w:hint="eastAsia" w:ascii="宋体" w:hAnsi="宋体"/>
          <w:highlight w:val="none"/>
          <w:u w:val="single"/>
        </w:rPr>
        <w:t xml:space="preserve">                          </w:t>
      </w:r>
      <w:r>
        <w:rPr>
          <w:rFonts w:hint="eastAsia" w:ascii="宋体" w:hAnsi="宋体"/>
          <w:highlight w:val="none"/>
        </w:rPr>
        <w:t xml:space="preserve"> ；</w:t>
      </w:r>
      <w:bookmarkEnd w:id="870"/>
    </w:p>
    <w:p w14:paraId="7628D4C6">
      <w:pPr>
        <w:spacing w:line="360" w:lineRule="auto"/>
        <w:rPr>
          <w:rFonts w:ascii="宋体" w:hAnsi="宋体"/>
          <w:highlight w:val="none"/>
        </w:rPr>
      </w:pPr>
      <w:bookmarkStart w:id="871" w:name="_Toc44235746"/>
      <w:r>
        <w:rPr>
          <w:rFonts w:hint="eastAsia" w:ascii="宋体" w:hAnsi="宋体"/>
          <w:highlight w:val="none"/>
        </w:rPr>
        <w:t>(2) 机械台班权重系数c为</w:t>
      </w:r>
      <w:r>
        <w:rPr>
          <w:rFonts w:hint="eastAsia" w:ascii="宋体" w:hAnsi="宋体"/>
          <w:highlight w:val="none"/>
          <w:u w:val="single"/>
        </w:rPr>
        <w:t xml:space="preserve">                   </w:t>
      </w:r>
      <w:r>
        <w:rPr>
          <w:rFonts w:hint="eastAsia" w:ascii="宋体" w:hAnsi="宋体"/>
          <w:highlight w:val="none"/>
        </w:rPr>
        <w:t>；</w:t>
      </w:r>
      <w:bookmarkEnd w:id="871"/>
    </w:p>
    <w:p w14:paraId="74E6A033">
      <w:pPr>
        <w:spacing w:line="360" w:lineRule="auto"/>
        <w:rPr>
          <w:rFonts w:ascii="宋体" w:hAnsi="宋体"/>
          <w:highlight w:val="none"/>
        </w:rPr>
      </w:pPr>
      <w:bookmarkStart w:id="872" w:name="_Toc44235747"/>
      <w:r>
        <w:rPr>
          <w:rFonts w:hint="eastAsia" w:ascii="宋体" w:hAnsi="宋体"/>
          <w:highlight w:val="none"/>
        </w:rPr>
        <w:t>(3) 钢筋权重系数d为</w:t>
      </w:r>
      <w:r>
        <w:rPr>
          <w:rFonts w:hint="eastAsia" w:ascii="宋体" w:hAnsi="宋体"/>
          <w:highlight w:val="none"/>
          <w:u w:val="single"/>
        </w:rPr>
        <w:t xml:space="preserve">                       </w:t>
      </w:r>
      <w:r>
        <w:rPr>
          <w:rFonts w:hint="eastAsia" w:ascii="宋体" w:hAnsi="宋体"/>
          <w:highlight w:val="none"/>
        </w:rPr>
        <w:t>；</w:t>
      </w:r>
      <w:bookmarkEnd w:id="872"/>
    </w:p>
    <w:p w14:paraId="2D2DC6AD">
      <w:pPr>
        <w:spacing w:line="360" w:lineRule="auto"/>
        <w:rPr>
          <w:rFonts w:ascii="宋体" w:hAnsi="宋体"/>
          <w:highlight w:val="none"/>
        </w:rPr>
      </w:pPr>
      <w:bookmarkStart w:id="873" w:name="_Toc44235748"/>
      <w:r>
        <w:rPr>
          <w:rFonts w:hint="eastAsia" w:ascii="宋体" w:hAnsi="宋体"/>
          <w:highlight w:val="none"/>
        </w:rPr>
        <w:t>(4) 其他资源及权重系数：</w:t>
      </w:r>
      <w:r>
        <w:rPr>
          <w:rFonts w:hint="eastAsia" w:ascii="宋体" w:hAnsi="宋体"/>
          <w:highlight w:val="none"/>
          <w:u w:val="single"/>
        </w:rPr>
        <w:t xml:space="preserve">                   </w:t>
      </w:r>
      <w:r>
        <w:rPr>
          <w:rFonts w:hint="eastAsia" w:ascii="宋体" w:hAnsi="宋体"/>
          <w:highlight w:val="none"/>
        </w:rPr>
        <w:t>；</w:t>
      </w:r>
      <w:bookmarkEnd w:id="873"/>
    </w:p>
    <w:p w14:paraId="4A977F78">
      <w:pPr>
        <w:spacing w:line="360" w:lineRule="auto"/>
        <w:rPr>
          <w:rFonts w:ascii="宋体" w:hAnsi="宋体"/>
          <w:highlight w:val="none"/>
        </w:rPr>
      </w:pPr>
      <w:bookmarkStart w:id="874" w:name="_Toc44235749"/>
      <w:r>
        <w:rPr>
          <w:rFonts w:hint="eastAsia" w:ascii="宋体" w:hAnsi="宋体"/>
          <w:highlight w:val="none"/>
        </w:rPr>
        <w:t>■  价格调差法。</w:t>
      </w:r>
      <w:bookmarkEnd w:id="874"/>
    </w:p>
    <w:p w14:paraId="119F7E3F">
      <w:pPr>
        <w:spacing w:line="360" w:lineRule="auto"/>
        <w:rPr>
          <w:rFonts w:ascii="宋体" w:hAnsi="宋体"/>
          <w:b/>
          <w:szCs w:val="21"/>
          <w:highlight w:val="none"/>
        </w:rPr>
      </w:pPr>
      <w:r>
        <w:rPr>
          <w:rFonts w:hint="eastAsia" w:ascii="宋体" w:hAnsi="宋体"/>
          <w:b/>
          <w:szCs w:val="21"/>
          <w:highlight w:val="none"/>
        </w:rPr>
        <w:t>（1）调整时间及涨（落）幅度：</w:t>
      </w:r>
    </w:p>
    <w:p w14:paraId="4AF8499B">
      <w:pPr>
        <w:spacing w:line="360" w:lineRule="auto"/>
        <w:rPr>
          <w:rFonts w:ascii="宋体" w:hAnsi="宋体"/>
          <w:b/>
          <w:szCs w:val="21"/>
          <w:highlight w:val="none"/>
        </w:rPr>
      </w:pPr>
      <w:r>
        <w:rPr>
          <w:rFonts w:hint="eastAsia" w:ascii="宋体" w:hAnsi="宋体"/>
          <w:b/>
          <w:szCs w:val="21"/>
          <w:highlight w:val="none"/>
        </w:rPr>
        <w:t>由于非承发包人原因引起合同有效工期内的主要建筑材料价格波动超过10%时，根据发包人、承包人及监理单位三方签认每月实际完成工程量的计量，对人工、材料、施工机械台班价格涨落超过投标当月“汕头市工程造价信息”登载的人工、材料、施工机械台班价格10%以上部分的予以调整价差，并按中标下浮率计算，作为追加（扣减）工程款的依据。人工、材料、施工机械台班价格涨落在10%之内各自承担风险，不补不扣。</w:t>
      </w:r>
    </w:p>
    <w:p w14:paraId="0B39DE21">
      <w:pPr>
        <w:spacing w:line="360" w:lineRule="auto"/>
        <w:rPr>
          <w:rFonts w:ascii="宋体" w:hAnsi="宋体"/>
          <w:b/>
          <w:szCs w:val="21"/>
          <w:highlight w:val="none"/>
        </w:rPr>
      </w:pPr>
      <w:r>
        <w:rPr>
          <w:rFonts w:hint="eastAsia" w:ascii="宋体" w:hAnsi="宋体"/>
          <w:b/>
          <w:szCs w:val="21"/>
          <w:highlight w:val="none"/>
        </w:rPr>
        <w:t>（2）调整工料范围：</w:t>
      </w:r>
    </w:p>
    <w:p w14:paraId="5E929E03">
      <w:pPr>
        <w:spacing w:line="360" w:lineRule="auto"/>
        <w:rPr>
          <w:rFonts w:ascii="宋体" w:hAnsi="宋体"/>
          <w:b/>
          <w:szCs w:val="21"/>
          <w:highlight w:val="none"/>
        </w:rPr>
      </w:pPr>
      <w:r>
        <w:rPr>
          <w:rFonts w:hint="eastAsia" w:ascii="宋体" w:hAnsi="宋体"/>
          <w:b/>
          <w:szCs w:val="21"/>
          <w:highlight w:val="none"/>
        </w:rPr>
        <w:t>①材料调整：钢材、水泥、砂、碎石、砖、沥青、沥青混凝土、商品混凝土、铜质电缆（电线）、铝材、管桩、汽油、柴油，重油；</w:t>
      </w:r>
    </w:p>
    <w:p w14:paraId="49DCBEC3">
      <w:pPr>
        <w:spacing w:line="360" w:lineRule="auto"/>
        <w:rPr>
          <w:rFonts w:ascii="宋体" w:hAnsi="宋体"/>
          <w:b/>
          <w:szCs w:val="21"/>
          <w:highlight w:val="none"/>
        </w:rPr>
      </w:pPr>
      <w:r>
        <w:rPr>
          <w:rFonts w:hint="eastAsia" w:ascii="宋体" w:hAnsi="宋体"/>
          <w:b/>
          <w:szCs w:val="21"/>
          <w:highlight w:val="none"/>
        </w:rPr>
        <w:t>②定额动态人工工资；</w:t>
      </w:r>
    </w:p>
    <w:p w14:paraId="3A958EAF">
      <w:pPr>
        <w:spacing w:line="360" w:lineRule="auto"/>
        <w:rPr>
          <w:rFonts w:ascii="宋体" w:hAnsi="宋体"/>
          <w:b/>
          <w:szCs w:val="21"/>
          <w:highlight w:val="none"/>
        </w:rPr>
      </w:pPr>
      <w:r>
        <w:rPr>
          <w:rFonts w:hint="eastAsia" w:ascii="宋体" w:hAnsi="宋体"/>
          <w:b/>
          <w:szCs w:val="21"/>
          <w:highlight w:val="none"/>
        </w:rPr>
        <w:t>③施工机械台班调整：汽油、柴油，重油、定额动态人工工资；</w:t>
      </w:r>
    </w:p>
    <w:p w14:paraId="2B7451D0">
      <w:pPr>
        <w:spacing w:line="360" w:lineRule="auto"/>
        <w:rPr>
          <w:rFonts w:ascii="宋体" w:hAnsi="宋体"/>
          <w:b/>
          <w:szCs w:val="21"/>
          <w:highlight w:val="none"/>
        </w:rPr>
      </w:pPr>
      <w:r>
        <w:rPr>
          <w:rFonts w:hint="eastAsia" w:ascii="宋体" w:hAnsi="宋体"/>
          <w:b/>
          <w:szCs w:val="21"/>
          <w:highlight w:val="none"/>
        </w:rPr>
        <w:t>④除安全防护、文明施工单列费用的项目和按定额规定系数计算的项目以外的施工措施项目中的人工、材料、施工机械台班价格可调整价差，调差范围按上述①、②、③点。</w:t>
      </w:r>
    </w:p>
    <w:p w14:paraId="12E65E18">
      <w:pPr>
        <w:spacing w:line="360" w:lineRule="auto"/>
        <w:rPr>
          <w:rFonts w:ascii="宋体" w:hAnsi="宋体"/>
          <w:b/>
          <w:szCs w:val="21"/>
          <w:highlight w:val="none"/>
        </w:rPr>
      </w:pPr>
      <w:r>
        <w:rPr>
          <w:rFonts w:hint="eastAsia" w:ascii="宋体" w:hAnsi="宋体"/>
          <w:b/>
          <w:szCs w:val="21"/>
          <w:highlight w:val="none"/>
        </w:rPr>
        <w:t>（3）每一种工料机调整方法：</w:t>
      </w:r>
    </w:p>
    <w:p w14:paraId="0664FE17">
      <w:pPr>
        <w:spacing w:line="360" w:lineRule="auto"/>
        <w:rPr>
          <w:rFonts w:ascii="宋体" w:hAnsi="宋体"/>
          <w:b/>
          <w:szCs w:val="21"/>
          <w:highlight w:val="none"/>
        </w:rPr>
      </w:pPr>
      <w:r>
        <w:rPr>
          <w:rFonts w:hint="eastAsia" w:ascii="宋体" w:hAnsi="宋体"/>
          <w:b/>
          <w:szCs w:val="21"/>
          <w:highlight w:val="none"/>
        </w:rPr>
        <w:t>1．材料价格上涨时，且∑（Qi×Pi）/（Q总×Po）＞1.1,则：</w:t>
      </w:r>
    </w:p>
    <w:p w14:paraId="2828965C">
      <w:pPr>
        <w:spacing w:line="360" w:lineRule="auto"/>
        <w:rPr>
          <w:rFonts w:ascii="宋体" w:hAnsi="宋体"/>
          <w:b/>
          <w:szCs w:val="21"/>
          <w:highlight w:val="none"/>
        </w:rPr>
      </w:pPr>
      <w:r>
        <w:rPr>
          <w:rFonts w:hint="eastAsia" w:ascii="宋体" w:hAnsi="宋体"/>
          <w:b/>
          <w:szCs w:val="21"/>
          <w:highlight w:val="none"/>
        </w:rPr>
        <w:t>C增= Q总×Pt×[∑（Qi×Pi）/（Q总×Pο）—1.1]</w:t>
      </w:r>
    </w:p>
    <w:p w14:paraId="63BDD3BF">
      <w:pPr>
        <w:spacing w:line="360" w:lineRule="auto"/>
        <w:rPr>
          <w:rFonts w:ascii="宋体" w:hAnsi="宋体"/>
          <w:b/>
          <w:szCs w:val="21"/>
          <w:highlight w:val="none"/>
        </w:rPr>
      </w:pPr>
      <w:r>
        <w:rPr>
          <w:rFonts w:hint="eastAsia" w:ascii="宋体" w:hAnsi="宋体"/>
          <w:b/>
          <w:szCs w:val="21"/>
          <w:highlight w:val="none"/>
        </w:rPr>
        <w:t>2．材料价格下跌时，且∑（Qi×Pi）/（Q总×Pο）＜ 0.9, 则：</w:t>
      </w:r>
    </w:p>
    <w:p w14:paraId="16FBFBB3">
      <w:pPr>
        <w:spacing w:line="360" w:lineRule="auto"/>
        <w:rPr>
          <w:rFonts w:ascii="宋体" w:hAnsi="宋体"/>
          <w:b/>
          <w:szCs w:val="21"/>
          <w:highlight w:val="none"/>
        </w:rPr>
      </w:pPr>
      <w:r>
        <w:rPr>
          <w:rFonts w:hint="eastAsia" w:ascii="宋体" w:hAnsi="宋体"/>
          <w:b/>
          <w:szCs w:val="21"/>
          <w:highlight w:val="none"/>
        </w:rPr>
        <w:t>C减= Q总×Pt×[0.9-∑（Qi×Pi）/（Q总×Pο）]</w:t>
      </w:r>
    </w:p>
    <w:p w14:paraId="1FEEBCFC">
      <w:pPr>
        <w:spacing w:line="360" w:lineRule="auto"/>
        <w:rPr>
          <w:rFonts w:ascii="宋体" w:hAnsi="宋体"/>
          <w:b/>
          <w:szCs w:val="21"/>
          <w:highlight w:val="none"/>
        </w:rPr>
      </w:pPr>
      <w:r>
        <w:rPr>
          <w:rFonts w:hint="eastAsia" w:ascii="宋体" w:hAnsi="宋体"/>
          <w:b/>
          <w:szCs w:val="21"/>
          <w:highlight w:val="none"/>
        </w:rPr>
        <w:t>式中：</w:t>
      </w:r>
    </w:p>
    <w:p w14:paraId="5B42D91D">
      <w:pPr>
        <w:spacing w:line="360" w:lineRule="auto"/>
        <w:rPr>
          <w:rFonts w:ascii="宋体" w:hAnsi="宋体"/>
          <w:b/>
          <w:szCs w:val="21"/>
          <w:highlight w:val="none"/>
        </w:rPr>
      </w:pPr>
      <w:r>
        <w:rPr>
          <w:rFonts w:hint="eastAsia" w:ascii="宋体" w:hAnsi="宋体"/>
          <w:b/>
          <w:szCs w:val="21"/>
          <w:highlight w:val="none"/>
        </w:rPr>
        <w:t>C增--调增工程造价；</w:t>
      </w:r>
    </w:p>
    <w:p w14:paraId="54095CE4">
      <w:pPr>
        <w:spacing w:line="360" w:lineRule="auto"/>
        <w:rPr>
          <w:rFonts w:ascii="宋体" w:hAnsi="宋体"/>
          <w:b/>
          <w:szCs w:val="21"/>
          <w:highlight w:val="none"/>
        </w:rPr>
      </w:pPr>
      <w:r>
        <w:rPr>
          <w:rFonts w:hint="eastAsia" w:ascii="宋体" w:hAnsi="宋体"/>
          <w:b/>
          <w:szCs w:val="21"/>
          <w:highlight w:val="none"/>
        </w:rPr>
        <w:t>C减--调减工程造价；</w:t>
      </w:r>
    </w:p>
    <w:p w14:paraId="6A4058AD">
      <w:pPr>
        <w:spacing w:line="360" w:lineRule="auto"/>
        <w:rPr>
          <w:rFonts w:ascii="宋体" w:hAnsi="宋体"/>
          <w:b/>
          <w:szCs w:val="21"/>
          <w:highlight w:val="none"/>
        </w:rPr>
      </w:pPr>
      <w:r>
        <w:rPr>
          <w:rFonts w:hint="eastAsia" w:ascii="宋体" w:hAnsi="宋体"/>
          <w:b/>
          <w:szCs w:val="21"/>
          <w:highlight w:val="none"/>
        </w:rPr>
        <w:t>Q总--某材料到第i个月的实际总用量；</w:t>
      </w:r>
    </w:p>
    <w:p w14:paraId="61A54CB9">
      <w:pPr>
        <w:spacing w:line="360" w:lineRule="auto"/>
        <w:rPr>
          <w:rFonts w:ascii="宋体" w:hAnsi="宋体"/>
          <w:b/>
          <w:szCs w:val="21"/>
          <w:highlight w:val="none"/>
        </w:rPr>
      </w:pPr>
      <w:r>
        <w:rPr>
          <w:rFonts w:hint="eastAsia" w:ascii="宋体" w:hAnsi="宋体"/>
          <w:b/>
          <w:szCs w:val="21"/>
          <w:highlight w:val="none"/>
        </w:rPr>
        <w:t>Qi--施工期第i个月的某材料实际用量；</w:t>
      </w:r>
    </w:p>
    <w:p w14:paraId="24F66F8C">
      <w:pPr>
        <w:spacing w:line="360" w:lineRule="auto"/>
        <w:rPr>
          <w:rFonts w:ascii="宋体" w:hAnsi="宋体"/>
          <w:b/>
          <w:szCs w:val="21"/>
          <w:highlight w:val="none"/>
        </w:rPr>
      </w:pPr>
      <w:r>
        <w:rPr>
          <w:rFonts w:hint="eastAsia" w:ascii="宋体" w:hAnsi="宋体"/>
          <w:b/>
          <w:szCs w:val="21"/>
          <w:highlight w:val="none"/>
        </w:rPr>
        <w:t>Pt= Pο×(1-中标下浮率）；</w:t>
      </w:r>
    </w:p>
    <w:p w14:paraId="2C70BEC9">
      <w:pPr>
        <w:spacing w:line="360" w:lineRule="auto"/>
        <w:rPr>
          <w:rFonts w:ascii="宋体" w:hAnsi="宋体"/>
          <w:b/>
          <w:szCs w:val="21"/>
          <w:highlight w:val="none"/>
        </w:rPr>
      </w:pPr>
      <w:r>
        <w:rPr>
          <w:rFonts w:hint="eastAsia" w:ascii="宋体" w:hAnsi="宋体"/>
          <w:b/>
          <w:szCs w:val="21"/>
          <w:highlight w:val="none"/>
        </w:rPr>
        <w:t>Pi--施工期第ī个月《汕头建设工程价格信息》发布的某材料价格；</w:t>
      </w:r>
    </w:p>
    <w:p w14:paraId="1F9035AB">
      <w:pPr>
        <w:spacing w:line="360" w:lineRule="auto"/>
        <w:rPr>
          <w:rFonts w:ascii="宋体" w:hAnsi="宋体"/>
          <w:b/>
          <w:szCs w:val="21"/>
          <w:highlight w:val="none"/>
        </w:rPr>
      </w:pPr>
      <w:r>
        <w:rPr>
          <w:rFonts w:hint="eastAsia" w:ascii="宋体" w:hAnsi="宋体"/>
          <w:b/>
          <w:szCs w:val="21"/>
          <w:highlight w:val="none"/>
        </w:rPr>
        <w:t>Pο—投标当月《汕头建设工程价格信息》发布的某材料价格。</w:t>
      </w:r>
    </w:p>
    <w:p w14:paraId="4B439B9E">
      <w:pPr>
        <w:spacing w:line="360" w:lineRule="auto"/>
        <w:rPr>
          <w:rFonts w:ascii="宋体" w:hAnsi="宋体"/>
          <w:b/>
          <w:szCs w:val="21"/>
          <w:highlight w:val="none"/>
        </w:rPr>
      </w:pPr>
      <w:r>
        <w:rPr>
          <w:rFonts w:hint="eastAsia" w:ascii="宋体" w:hAnsi="宋体"/>
          <w:b/>
          <w:szCs w:val="21"/>
          <w:highlight w:val="none"/>
        </w:rPr>
        <w:t>上述第1点、第2点公式中，在合同有效工期外完成的工程量所对应的人工、材料、施工机械台班价格按合同有效工期内的算术平均值（用P平表示）和实际发生工程量对应的当月信息价（用Pj表示）对比的低值计算。如有下列特殊情况的，则按下列公式计算（∑（Qī×Pī）/（Q总×Pο）用M代表）：</w:t>
      </w:r>
    </w:p>
    <w:p w14:paraId="6C9EED29">
      <w:pPr>
        <w:spacing w:line="360" w:lineRule="auto"/>
        <w:rPr>
          <w:rFonts w:ascii="宋体" w:hAnsi="宋体"/>
          <w:b/>
          <w:szCs w:val="21"/>
          <w:highlight w:val="none"/>
        </w:rPr>
      </w:pPr>
      <w:bookmarkStart w:id="875" w:name="_Toc6606"/>
      <w:bookmarkStart w:id="876" w:name="_Toc9636"/>
      <w:bookmarkStart w:id="877" w:name="_Toc18116"/>
      <w:bookmarkStart w:id="878" w:name="_Toc373403868"/>
      <w:bookmarkStart w:id="879" w:name="_Toc371436330"/>
      <w:r>
        <w:rPr>
          <w:rFonts w:hint="eastAsia" w:ascii="宋体" w:hAnsi="宋体"/>
          <w:b/>
          <w:szCs w:val="21"/>
          <w:highlight w:val="none"/>
        </w:rPr>
        <w:t>（一）如果M＜ 0.9，且Pj＜P平时：</w:t>
      </w:r>
      <w:bookmarkEnd w:id="875"/>
      <w:bookmarkEnd w:id="876"/>
      <w:bookmarkEnd w:id="877"/>
      <w:bookmarkEnd w:id="878"/>
      <w:bookmarkEnd w:id="879"/>
    </w:p>
    <w:p w14:paraId="614CF69F">
      <w:pPr>
        <w:spacing w:line="360" w:lineRule="auto"/>
        <w:rPr>
          <w:rFonts w:ascii="宋体" w:hAnsi="宋体"/>
          <w:b/>
          <w:szCs w:val="21"/>
          <w:highlight w:val="none"/>
        </w:rPr>
      </w:pPr>
      <w:r>
        <w:rPr>
          <w:rFonts w:hint="eastAsia" w:ascii="宋体" w:hAnsi="宋体"/>
          <w:b/>
          <w:szCs w:val="21"/>
          <w:highlight w:val="none"/>
        </w:rPr>
        <w:t>C减= Q总×Pt×[0.9-M]+0.1×Pt×∑Qj</w:t>
      </w:r>
    </w:p>
    <w:p w14:paraId="01E6CF0D">
      <w:pPr>
        <w:spacing w:line="360" w:lineRule="auto"/>
        <w:rPr>
          <w:rFonts w:ascii="宋体" w:hAnsi="宋体"/>
          <w:b/>
          <w:szCs w:val="21"/>
          <w:highlight w:val="none"/>
        </w:rPr>
      </w:pPr>
      <w:bookmarkStart w:id="880" w:name="_Toc13711"/>
      <w:bookmarkStart w:id="881" w:name="_Toc371436331"/>
      <w:bookmarkStart w:id="882" w:name="_Toc11631"/>
      <w:bookmarkStart w:id="883" w:name="_Toc373403869"/>
      <w:bookmarkStart w:id="884" w:name="_Toc25579"/>
      <w:r>
        <w:rPr>
          <w:rFonts w:hint="eastAsia" w:ascii="宋体" w:hAnsi="宋体"/>
          <w:b/>
          <w:szCs w:val="21"/>
          <w:highlight w:val="none"/>
        </w:rPr>
        <w:t>（二）如果1.1≥M≥ 0.9， Pj＜P平且Pj＜Po时：</w:t>
      </w:r>
      <w:bookmarkEnd w:id="880"/>
      <w:bookmarkEnd w:id="881"/>
      <w:bookmarkEnd w:id="882"/>
      <w:bookmarkEnd w:id="883"/>
      <w:bookmarkEnd w:id="884"/>
    </w:p>
    <w:p w14:paraId="4158EC8A">
      <w:pPr>
        <w:spacing w:line="360" w:lineRule="auto"/>
        <w:rPr>
          <w:rFonts w:ascii="宋体" w:hAnsi="宋体"/>
          <w:b/>
          <w:szCs w:val="21"/>
          <w:highlight w:val="none"/>
        </w:rPr>
      </w:pPr>
      <w:r>
        <w:rPr>
          <w:rFonts w:hint="eastAsia" w:ascii="宋体" w:hAnsi="宋体"/>
          <w:b/>
          <w:szCs w:val="21"/>
          <w:highlight w:val="none"/>
        </w:rPr>
        <w:t>C减= ∑[Qj×（Pj-Po）]×(1-中标下浮率）；</w:t>
      </w:r>
    </w:p>
    <w:p w14:paraId="51AFD360">
      <w:pPr>
        <w:spacing w:line="360" w:lineRule="auto"/>
        <w:rPr>
          <w:rFonts w:ascii="宋体" w:hAnsi="宋体"/>
          <w:b/>
          <w:szCs w:val="21"/>
          <w:highlight w:val="none"/>
        </w:rPr>
      </w:pPr>
      <w:r>
        <w:rPr>
          <w:rFonts w:hint="eastAsia" w:ascii="宋体" w:hAnsi="宋体"/>
          <w:b/>
          <w:szCs w:val="21"/>
          <w:highlight w:val="none"/>
        </w:rPr>
        <w:t>式中：</w:t>
      </w:r>
    </w:p>
    <w:p w14:paraId="1C6027F9">
      <w:pPr>
        <w:spacing w:line="360" w:lineRule="auto"/>
        <w:rPr>
          <w:rFonts w:ascii="宋体" w:hAnsi="宋体"/>
          <w:b/>
          <w:szCs w:val="21"/>
          <w:highlight w:val="none"/>
        </w:rPr>
      </w:pPr>
      <w:r>
        <w:rPr>
          <w:rFonts w:hint="eastAsia" w:ascii="宋体" w:hAnsi="宋体"/>
          <w:b/>
          <w:szCs w:val="21"/>
          <w:highlight w:val="none"/>
        </w:rPr>
        <w:t>Pj—合同有效工期外低于合同有效工期内信息价的算术平均值第j个月工料机的价格；</w:t>
      </w:r>
    </w:p>
    <w:p w14:paraId="65ADB073">
      <w:pPr>
        <w:spacing w:line="360" w:lineRule="auto"/>
        <w:rPr>
          <w:rFonts w:ascii="宋体" w:hAnsi="宋体"/>
          <w:b/>
          <w:szCs w:val="21"/>
          <w:highlight w:val="none"/>
        </w:rPr>
      </w:pPr>
      <w:r>
        <w:rPr>
          <w:rFonts w:hint="eastAsia" w:ascii="宋体" w:hAnsi="宋体"/>
          <w:b/>
          <w:szCs w:val="21"/>
          <w:highlight w:val="none"/>
        </w:rPr>
        <w:t>Qj—合同有效工期外低于合同有效工期内信息价的算术平均值第j个月工料机的实际用量。</w:t>
      </w:r>
    </w:p>
    <w:p w14:paraId="6DADAE5D">
      <w:pPr>
        <w:spacing w:line="360" w:lineRule="auto"/>
        <w:rPr>
          <w:rFonts w:ascii="宋体" w:hAnsi="宋体"/>
          <w:b/>
          <w:szCs w:val="21"/>
          <w:highlight w:val="none"/>
        </w:rPr>
      </w:pPr>
      <w:r>
        <w:rPr>
          <w:rFonts w:hint="eastAsia" w:ascii="宋体" w:hAnsi="宋体"/>
          <w:b/>
          <w:szCs w:val="21"/>
          <w:highlight w:val="none"/>
        </w:rPr>
        <w:t>（4）每期进度款材料价差支付（或扣减）计算方法：本月进度款材料价差按上式计算出来的C增（或C减）减去以往月度已支付（扣减）的材料价差余额，再根据合同专用条款第81条支付（或扣减）。”</w:t>
      </w:r>
    </w:p>
    <w:p w14:paraId="59ED3BB9">
      <w:pPr>
        <w:spacing w:line="360" w:lineRule="auto"/>
        <w:rPr>
          <w:rFonts w:ascii="宋体" w:hAnsi="宋体"/>
          <w:szCs w:val="21"/>
          <w:highlight w:val="none"/>
        </w:rPr>
      </w:pPr>
      <w:r>
        <w:rPr>
          <w:rFonts w:hint="eastAsia" w:ascii="宋体" w:hAnsi="宋体"/>
          <w:b/>
          <w:szCs w:val="21"/>
          <w:highlight w:val="none"/>
        </w:rPr>
        <w:t>（5）由承包人报送每月实际施工完成的详细工程量给监理单位、发包人审核，监理单位和发包人应根据现场实际完成的工程量核实报送的工程量。</w:t>
      </w:r>
    </w:p>
    <w:p w14:paraId="6EE8534B">
      <w:pPr>
        <w:pStyle w:val="6"/>
        <w:rPr>
          <w:highlight w:val="none"/>
        </w:rPr>
      </w:pPr>
      <w:bookmarkStart w:id="885" w:name="_Toc520715219"/>
      <w:bookmarkStart w:id="886" w:name="_Toc271290761"/>
      <w:bookmarkStart w:id="887" w:name="_Toc273290787"/>
      <w:bookmarkStart w:id="888" w:name="_Toc254775555"/>
      <w:bookmarkStart w:id="889" w:name="_Toc461980557"/>
      <w:bookmarkStart w:id="890" w:name="_Toc2095"/>
      <w:r>
        <w:rPr>
          <w:rFonts w:hint="eastAsia"/>
          <w:highlight w:val="none"/>
        </w:rPr>
        <w:t>78、</w:t>
      </w:r>
      <w:r>
        <w:rPr>
          <w:rFonts w:hint="eastAsia"/>
          <w:szCs w:val="24"/>
          <w:highlight w:val="none"/>
        </w:rPr>
        <w:t>支付事项</w:t>
      </w:r>
      <w:bookmarkEnd w:id="885"/>
      <w:bookmarkEnd w:id="886"/>
      <w:bookmarkEnd w:id="887"/>
      <w:bookmarkEnd w:id="888"/>
      <w:bookmarkEnd w:id="889"/>
      <w:bookmarkEnd w:id="890"/>
    </w:p>
    <w:p w14:paraId="01C49EBD">
      <w:pPr>
        <w:spacing w:line="360" w:lineRule="auto"/>
        <w:rPr>
          <w:rFonts w:ascii="宋体" w:hAnsi="宋体"/>
          <w:szCs w:val="21"/>
          <w:highlight w:val="none"/>
        </w:rPr>
      </w:pPr>
      <w:r>
        <w:rPr>
          <w:rFonts w:hint="eastAsia" w:ascii="宋体" w:hAnsi="宋体"/>
          <w:szCs w:val="21"/>
          <w:highlight w:val="none"/>
        </w:rPr>
        <w:t>78.1 支付工程款项</w:t>
      </w:r>
    </w:p>
    <w:p w14:paraId="7F4BE81C">
      <w:pPr>
        <w:spacing w:line="360" w:lineRule="auto"/>
        <w:rPr>
          <w:rFonts w:ascii="宋体" w:hAnsi="宋体"/>
          <w:szCs w:val="21"/>
          <w:highlight w:val="none"/>
        </w:rPr>
      </w:pPr>
      <w:r>
        <w:rPr>
          <w:rFonts w:hint="eastAsia" w:ascii="宋体" w:hAnsi="宋体"/>
          <w:szCs w:val="21"/>
          <w:highlight w:val="none"/>
        </w:rPr>
        <w:t>本款更改为：</w:t>
      </w:r>
    </w:p>
    <w:p w14:paraId="2070C7AB">
      <w:pPr>
        <w:spacing w:line="360" w:lineRule="auto"/>
        <w:rPr>
          <w:rFonts w:ascii="宋体" w:hAnsi="宋体"/>
          <w:szCs w:val="21"/>
          <w:highlight w:val="none"/>
        </w:rPr>
      </w:pPr>
      <w:r>
        <w:rPr>
          <w:rFonts w:hint="eastAsia" w:ascii="宋体" w:hAnsi="宋体"/>
          <w:szCs w:val="21"/>
          <w:highlight w:val="none"/>
        </w:rPr>
        <w:t>发包人应按下列规定向承包人支付工程款及其他各种款项：</w:t>
      </w:r>
    </w:p>
    <w:p w14:paraId="72C42DE5">
      <w:pPr>
        <w:spacing w:line="360" w:lineRule="auto"/>
        <w:rPr>
          <w:rFonts w:ascii="宋体" w:hAnsi="宋体"/>
          <w:szCs w:val="21"/>
          <w:highlight w:val="none"/>
        </w:rPr>
      </w:pPr>
      <w:r>
        <w:rPr>
          <w:rFonts w:hint="eastAsia" w:ascii="宋体" w:hAnsi="宋体"/>
          <w:szCs w:val="21"/>
          <w:highlight w:val="none"/>
        </w:rPr>
        <w:t>(1) 预付款按第79条的规定支付；</w:t>
      </w:r>
    </w:p>
    <w:p w14:paraId="7F12AFDD">
      <w:pPr>
        <w:spacing w:line="360" w:lineRule="auto"/>
        <w:rPr>
          <w:rFonts w:ascii="宋体" w:hAnsi="宋体"/>
          <w:szCs w:val="21"/>
          <w:highlight w:val="none"/>
        </w:rPr>
      </w:pPr>
      <w:r>
        <w:rPr>
          <w:rFonts w:hint="eastAsia" w:ascii="宋体" w:hAnsi="宋体"/>
          <w:szCs w:val="21"/>
          <w:highlight w:val="none"/>
        </w:rPr>
        <w:t>(2) 安全防护、文明施工措施费按第80条规定支付；</w:t>
      </w:r>
    </w:p>
    <w:p w14:paraId="5193E7CC">
      <w:pPr>
        <w:spacing w:line="360" w:lineRule="auto"/>
        <w:rPr>
          <w:rFonts w:ascii="宋体" w:hAnsi="宋体"/>
          <w:szCs w:val="21"/>
          <w:highlight w:val="none"/>
        </w:rPr>
      </w:pPr>
      <w:r>
        <w:rPr>
          <w:rFonts w:hint="eastAsia" w:ascii="宋体" w:hAnsi="宋体"/>
          <w:szCs w:val="21"/>
          <w:highlight w:val="none"/>
        </w:rPr>
        <w:t>(3) 进度款按第81条的规定支付；</w:t>
      </w:r>
    </w:p>
    <w:p w14:paraId="018C01C1">
      <w:pPr>
        <w:spacing w:line="360" w:lineRule="auto"/>
        <w:rPr>
          <w:rFonts w:ascii="宋体" w:hAnsi="宋体"/>
          <w:szCs w:val="21"/>
          <w:highlight w:val="none"/>
        </w:rPr>
      </w:pPr>
      <w:r>
        <w:rPr>
          <w:rFonts w:hint="eastAsia" w:ascii="宋体" w:hAnsi="宋体"/>
          <w:szCs w:val="21"/>
          <w:highlight w:val="none"/>
        </w:rPr>
        <w:t>(4) 竣工结算款按第82条的规定支付；</w:t>
      </w:r>
    </w:p>
    <w:p w14:paraId="24A0294B">
      <w:pPr>
        <w:spacing w:line="360" w:lineRule="auto"/>
        <w:rPr>
          <w:rFonts w:ascii="宋体" w:hAnsi="宋体"/>
          <w:szCs w:val="21"/>
          <w:highlight w:val="none"/>
        </w:rPr>
      </w:pPr>
      <w:r>
        <w:rPr>
          <w:rFonts w:hint="eastAsia" w:ascii="宋体" w:hAnsi="宋体"/>
          <w:szCs w:val="21"/>
          <w:highlight w:val="none"/>
        </w:rPr>
        <w:t>(5) 质量保证金按第84条的规定支付。</w:t>
      </w:r>
    </w:p>
    <w:p w14:paraId="3F523D0E">
      <w:pPr>
        <w:spacing w:line="360" w:lineRule="auto"/>
        <w:rPr>
          <w:rFonts w:ascii="宋体" w:hAnsi="宋体"/>
          <w:szCs w:val="21"/>
          <w:highlight w:val="none"/>
        </w:rPr>
      </w:pPr>
      <w:r>
        <w:rPr>
          <w:rFonts w:hint="eastAsia" w:ascii="宋体" w:hAnsi="宋体"/>
          <w:szCs w:val="21"/>
          <w:highlight w:val="none"/>
        </w:rPr>
        <w:t>(6) 按东建[2006]7号文《关于实行定额人工费工资专户支付工人工资的通知》规定，本工程实行定额人工费专户支付工人工资制度。</w:t>
      </w:r>
    </w:p>
    <w:p w14:paraId="68BB2622">
      <w:pPr>
        <w:spacing w:line="360" w:lineRule="auto"/>
        <w:rPr>
          <w:rFonts w:ascii="宋体" w:hAnsi="宋体"/>
          <w:szCs w:val="21"/>
          <w:highlight w:val="none"/>
        </w:rPr>
      </w:pPr>
      <w:r>
        <w:rPr>
          <w:rFonts w:hint="eastAsia" w:ascii="宋体" w:hAnsi="宋体"/>
          <w:szCs w:val="21"/>
          <w:highlight w:val="none"/>
        </w:rPr>
        <w:t>1) 本工程的定额工日工资总额为：</w:t>
      </w:r>
      <w:r>
        <w:rPr>
          <w:rFonts w:hint="eastAsia" w:ascii="宋体" w:hAnsi="宋体" w:cs="宋体"/>
          <w:szCs w:val="21"/>
          <w:highlight w:val="none"/>
          <w:u w:val="single"/>
        </w:rPr>
        <w:t xml:space="preserve">    </w:t>
      </w:r>
      <w:r>
        <w:rPr>
          <w:rFonts w:hint="eastAsia" w:ascii="宋体" w:hAnsi="宋体" w:cs="宋体"/>
          <w:szCs w:val="21"/>
          <w:highlight w:val="none"/>
        </w:rPr>
        <w:t>，人民币（小写）：</w:t>
      </w:r>
      <w:r>
        <w:rPr>
          <w:rFonts w:hint="eastAsia" w:ascii="宋体" w:hAnsi="宋体" w:cs="宋体"/>
          <w:szCs w:val="21"/>
          <w:highlight w:val="none"/>
          <w:u w:val="single"/>
        </w:rPr>
        <w:t xml:space="preserve">       </w:t>
      </w:r>
      <w:r>
        <w:rPr>
          <w:rFonts w:hint="eastAsia" w:ascii="宋体" w:hAnsi="宋体" w:cs="宋体"/>
          <w:szCs w:val="21"/>
          <w:highlight w:val="none"/>
        </w:rPr>
        <w:t>元</w:t>
      </w:r>
      <w:r>
        <w:rPr>
          <w:rFonts w:hint="eastAsia" w:ascii="宋体" w:hAnsi="宋体"/>
          <w:szCs w:val="21"/>
          <w:highlight w:val="none"/>
        </w:rPr>
        <w:t>，用于支付工人工资，专款专用。</w:t>
      </w:r>
    </w:p>
    <w:p w14:paraId="67035749">
      <w:pPr>
        <w:spacing w:line="360" w:lineRule="auto"/>
        <w:rPr>
          <w:rFonts w:ascii="宋体" w:hAnsi="宋体"/>
          <w:szCs w:val="21"/>
          <w:highlight w:val="none"/>
        </w:rPr>
      </w:pPr>
      <w:r>
        <w:rPr>
          <w:rFonts w:hint="eastAsia" w:ascii="宋体" w:hAnsi="宋体"/>
          <w:szCs w:val="21"/>
          <w:highlight w:val="none"/>
        </w:rPr>
        <w:t>2) 承包方应通过企业基本帐户支付工人工资，本工程工程进度款中的工人工资部分将拨入企业基本帐户，按工程项目列清，专款专用。本工程的企业基本帐户如下：</w:t>
      </w:r>
    </w:p>
    <w:p w14:paraId="3AE5D315">
      <w:pPr>
        <w:spacing w:line="360" w:lineRule="auto"/>
        <w:rPr>
          <w:rFonts w:ascii="宋体" w:hAnsi="宋体"/>
          <w:szCs w:val="21"/>
          <w:highlight w:val="none"/>
        </w:rPr>
      </w:pPr>
      <w:r>
        <w:rPr>
          <w:rFonts w:hint="eastAsia" w:ascii="宋体" w:hAnsi="宋体"/>
          <w:szCs w:val="21"/>
          <w:highlight w:val="none"/>
        </w:rPr>
        <w:t xml:space="preserve">户  名：                                    </w:t>
      </w:r>
    </w:p>
    <w:p w14:paraId="250E3BB7">
      <w:pPr>
        <w:spacing w:line="360" w:lineRule="auto"/>
        <w:rPr>
          <w:rFonts w:ascii="宋体" w:hAnsi="宋体"/>
          <w:szCs w:val="21"/>
          <w:highlight w:val="none"/>
        </w:rPr>
      </w:pPr>
      <w:r>
        <w:rPr>
          <w:rFonts w:hint="eastAsia" w:ascii="宋体" w:hAnsi="宋体"/>
          <w:szCs w:val="21"/>
          <w:highlight w:val="none"/>
        </w:rPr>
        <w:t xml:space="preserve">帐  号：                                    </w:t>
      </w:r>
    </w:p>
    <w:p w14:paraId="0ABF9206">
      <w:pPr>
        <w:spacing w:line="360" w:lineRule="auto"/>
        <w:rPr>
          <w:rFonts w:ascii="宋体" w:hAnsi="宋体"/>
          <w:szCs w:val="21"/>
          <w:highlight w:val="none"/>
        </w:rPr>
      </w:pPr>
      <w:r>
        <w:rPr>
          <w:rFonts w:hint="eastAsia" w:ascii="宋体" w:hAnsi="宋体"/>
          <w:szCs w:val="21"/>
          <w:highlight w:val="none"/>
        </w:rPr>
        <w:t xml:space="preserve">开户行：                                    </w:t>
      </w:r>
    </w:p>
    <w:p w14:paraId="5BBA8DE9">
      <w:pPr>
        <w:spacing w:line="360" w:lineRule="auto"/>
        <w:rPr>
          <w:rFonts w:ascii="宋体" w:hAnsi="宋体"/>
          <w:szCs w:val="21"/>
          <w:highlight w:val="none"/>
        </w:rPr>
      </w:pPr>
      <w:r>
        <w:rPr>
          <w:rFonts w:hint="eastAsia" w:ascii="宋体" w:hAnsi="宋体"/>
          <w:szCs w:val="21"/>
          <w:highlight w:val="none"/>
        </w:rPr>
        <w:t>3) 工程进度款的支付除按本合同第81条执行外，尚需按东建[2006]7号文的规定执行。</w:t>
      </w:r>
    </w:p>
    <w:p w14:paraId="2E480EC0">
      <w:pPr>
        <w:spacing w:line="360" w:lineRule="auto"/>
        <w:rPr>
          <w:rFonts w:ascii="宋体" w:hAnsi="宋体"/>
          <w:sz w:val="24"/>
          <w:highlight w:val="none"/>
        </w:rPr>
      </w:pPr>
      <w:r>
        <w:rPr>
          <w:rFonts w:hint="eastAsia" w:ascii="宋体" w:hAnsi="宋体"/>
          <w:szCs w:val="21"/>
          <w:highlight w:val="none"/>
        </w:rPr>
        <w:t>4) 工人工资支付及监管按东建[2006]7号文的规定执行。</w:t>
      </w:r>
    </w:p>
    <w:p w14:paraId="63D9533F">
      <w:pPr>
        <w:spacing w:line="360" w:lineRule="auto"/>
        <w:rPr>
          <w:rFonts w:ascii="宋体" w:hAnsi="宋体"/>
          <w:szCs w:val="21"/>
          <w:highlight w:val="none"/>
        </w:rPr>
      </w:pPr>
      <w:r>
        <w:rPr>
          <w:rFonts w:hint="eastAsia" w:ascii="宋体" w:hAnsi="宋体"/>
          <w:szCs w:val="21"/>
          <w:highlight w:val="none"/>
        </w:rPr>
        <w:t>78.2 计算利息的利率</w:t>
      </w:r>
    </w:p>
    <w:p w14:paraId="3E45B1C6">
      <w:pPr>
        <w:spacing w:line="360" w:lineRule="auto"/>
        <w:rPr>
          <w:rFonts w:ascii="宋体" w:hAnsi="宋体"/>
          <w:szCs w:val="21"/>
          <w:highlight w:val="none"/>
        </w:rPr>
      </w:pPr>
      <w:r>
        <w:rPr>
          <w:rFonts w:hint="eastAsia" w:ascii="宋体" w:hAnsi="宋体"/>
          <w:szCs w:val="21"/>
          <w:highlight w:val="none"/>
        </w:rPr>
        <w:t>■  按照中国人民银行发布的同期同类贷款利率</w:t>
      </w:r>
    </w:p>
    <w:p w14:paraId="0E532C0E">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其他为</w:t>
      </w:r>
      <w:r>
        <w:rPr>
          <w:rFonts w:hint="eastAsia" w:ascii="宋体" w:hAnsi="宋体"/>
          <w:szCs w:val="21"/>
          <w:highlight w:val="none"/>
          <w:u w:val="single"/>
        </w:rPr>
        <w:t xml:space="preserve">                                </w:t>
      </w:r>
    </w:p>
    <w:p w14:paraId="7F5DB22D">
      <w:pPr>
        <w:pStyle w:val="6"/>
        <w:rPr>
          <w:highlight w:val="none"/>
        </w:rPr>
      </w:pPr>
      <w:bookmarkStart w:id="891" w:name="_Toc461980559"/>
      <w:bookmarkStart w:id="892" w:name="_Toc254775556"/>
      <w:bookmarkStart w:id="893" w:name="_Toc23565"/>
      <w:bookmarkStart w:id="894" w:name="_Toc520715221"/>
      <w:bookmarkStart w:id="895" w:name="_Toc273290789"/>
      <w:bookmarkStart w:id="896" w:name="_Toc271290763"/>
      <w:r>
        <w:rPr>
          <w:rFonts w:hint="eastAsia"/>
          <w:highlight w:val="none"/>
        </w:rPr>
        <w:t>79、</w:t>
      </w:r>
      <w:r>
        <w:rPr>
          <w:rFonts w:hint="eastAsia"/>
          <w:szCs w:val="24"/>
          <w:highlight w:val="none"/>
        </w:rPr>
        <w:t>预付款</w:t>
      </w:r>
      <w:bookmarkEnd w:id="891"/>
      <w:bookmarkEnd w:id="892"/>
      <w:bookmarkEnd w:id="893"/>
      <w:bookmarkEnd w:id="894"/>
      <w:bookmarkEnd w:id="895"/>
      <w:bookmarkEnd w:id="896"/>
    </w:p>
    <w:p w14:paraId="2E813D81">
      <w:pPr>
        <w:spacing w:line="360" w:lineRule="auto"/>
        <w:rPr>
          <w:rFonts w:ascii="宋体" w:hAnsi="宋体"/>
          <w:szCs w:val="21"/>
          <w:highlight w:val="none"/>
        </w:rPr>
      </w:pPr>
      <w:bookmarkStart w:id="897" w:name="_Toc279710415"/>
      <w:bookmarkStart w:id="898" w:name="_Toc404592655"/>
      <w:bookmarkStart w:id="899" w:name="_Toc44235750"/>
      <w:bookmarkStart w:id="900" w:name="_Toc404593015"/>
      <w:bookmarkStart w:id="901" w:name="_Toc259494222"/>
      <w:bookmarkStart w:id="902" w:name="_Toc283188355"/>
      <w:r>
        <w:rPr>
          <w:rFonts w:hint="eastAsia" w:ascii="宋体" w:hAnsi="宋体"/>
          <w:szCs w:val="21"/>
          <w:highlight w:val="none"/>
        </w:rPr>
        <w:t>79.1  预付款的约定</w:t>
      </w:r>
      <w:bookmarkEnd w:id="897"/>
      <w:bookmarkEnd w:id="898"/>
      <w:bookmarkEnd w:id="899"/>
      <w:bookmarkEnd w:id="900"/>
      <w:bookmarkEnd w:id="901"/>
      <w:bookmarkEnd w:id="902"/>
    </w:p>
    <w:p w14:paraId="42B5BE25">
      <w:pPr>
        <w:spacing w:line="360" w:lineRule="auto"/>
        <w:rPr>
          <w:rFonts w:ascii="宋体" w:hAnsi="宋体"/>
          <w:szCs w:val="21"/>
          <w:highlight w:val="none"/>
        </w:rPr>
      </w:pPr>
      <w:r>
        <w:rPr>
          <w:rFonts w:hint="eastAsia" w:ascii="宋体" w:hAnsi="宋体"/>
          <w:szCs w:val="21"/>
          <w:highlight w:val="none"/>
        </w:rPr>
        <w:t xml:space="preserve"> ■  没约定预付款的，本款不适用。</w:t>
      </w:r>
    </w:p>
    <w:p w14:paraId="39DFF270">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约定预付款的，预付款的最高限额为</w:t>
      </w:r>
      <w:r>
        <w:rPr>
          <w:rFonts w:hint="eastAsia" w:ascii="宋体" w:hAnsi="宋体"/>
          <w:szCs w:val="21"/>
          <w:highlight w:val="none"/>
          <w:u w:val="single"/>
        </w:rPr>
        <w:t xml:space="preserve">        </w:t>
      </w:r>
      <w:r>
        <w:rPr>
          <w:rFonts w:hint="eastAsia" w:ascii="宋体" w:hAnsi="宋体"/>
          <w:szCs w:val="21"/>
          <w:highlight w:val="none"/>
        </w:rPr>
        <w:t>元，其支付办法及低扣方式按本条有关规定。</w:t>
      </w:r>
    </w:p>
    <w:p w14:paraId="2E2EF032">
      <w:pPr>
        <w:spacing w:line="360" w:lineRule="auto"/>
        <w:rPr>
          <w:rFonts w:ascii="宋体" w:hAnsi="宋体"/>
          <w:szCs w:val="21"/>
          <w:highlight w:val="none"/>
        </w:rPr>
      </w:pPr>
      <w:r>
        <w:rPr>
          <w:rFonts w:hint="eastAsia" w:ascii="宋体" w:hAnsi="宋体"/>
          <w:szCs w:val="21"/>
          <w:highlight w:val="none"/>
        </w:rPr>
        <w:t>79.2  预付款支付申请的约定：</w:t>
      </w:r>
    </w:p>
    <w:p w14:paraId="4EDADAD5">
      <w:pPr>
        <w:spacing w:line="360" w:lineRule="auto"/>
        <w:rPr>
          <w:rFonts w:ascii="宋体" w:hAnsi="宋体"/>
          <w:szCs w:val="21"/>
          <w:highlight w:val="none"/>
        </w:rPr>
      </w:pPr>
      <w:r>
        <w:rPr>
          <w:rFonts w:hint="eastAsia" w:ascii="宋体" w:hAnsi="宋体"/>
          <w:b/>
          <w:szCs w:val="21"/>
          <w:highlight w:val="none"/>
        </w:rPr>
        <w:t>无</w:t>
      </w:r>
      <w:r>
        <w:rPr>
          <w:rFonts w:hint="eastAsia" w:ascii="宋体" w:hAnsi="宋体"/>
          <w:szCs w:val="21"/>
          <w:highlight w:val="none"/>
        </w:rPr>
        <w:t>。</w:t>
      </w:r>
    </w:p>
    <w:p w14:paraId="17ABA5EC">
      <w:pPr>
        <w:spacing w:line="360" w:lineRule="auto"/>
        <w:rPr>
          <w:rFonts w:ascii="宋体" w:hAnsi="宋体"/>
          <w:szCs w:val="21"/>
          <w:highlight w:val="none"/>
        </w:rPr>
      </w:pPr>
      <w:r>
        <w:rPr>
          <w:rFonts w:hint="eastAsia" w:hAnsi="宋体"/>
          <w:szCs w:val="21"/>
          <w:highlight w:val="none"/>
        </w:rPr>
        <w:t xml:space="preserve">（2） </w:t>
      </w:r>
      <w:r>
        <w:rPr>
          <w:rFonts w:hint="eastAsia" w:hAnsi="宋体"/>
          <w:b/>
          <w:szCs w:val="21"/>
          <w:highlight w:val="none"/>
        </w:rPr>
        <w:t>无</w:t>
      </w:r>
      <w:r>
        <w:rPr>
          <w:rFonts w:hint="eastAsia" w:hAnsi="宋体"/>
          <w:szCs w:val="21"/>
          <w:highlight w:val="none"/>
        </w:rPr>
        <w:t>。</w:t>
      </w:r>
    </w:p>
    <w:p w14:paraId="77F383F2">
      <w:pPr>
        <w:spacing w:line="360" w:lineRule="auto"/>
        <w:rPr>
          <w:rFonts w:ascii="宋体" w:hAnsi="宋体"/>
          <w:szCs w:val="21"/>
          <w:highlight w:val="none"/>
        </w:rPr>
      </w:pPr>
      <w:r>
        <w:rPr>
          <w:rFonts w:hint="eastAsia" w:ascii="宋体" w:hAnsi="宋体"/>
          <w:szCs w:val="21"/>
          <w:highlight w:val="none"/>
        </w:rPr>
        <w:t>79.4  预付款低扣方式：</w:t>
      </w:r>
    </w:p>
    <w:p w14:paraId="4A041CE0">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预付款按照期中应支付工程款的</w:t>
      </w:r>
      <w:r>
        <w:rPr>
          <w:rFonts w:hint="eastAsia" w:ascii="宋体" w:hAnsi="宋体"/>
          <w:szCs w:val="21"/>
          <w:highlight w:val="none"/>
          <w:u w:val="single"/>
        </w:rPr>
        <w:t xml:space="preserve">       </w:t>
      </w:r>
      <w:r>
        <w:rPr>
          <w:rFonts w:hint="eastAsia" w:ascii="宋体" w:hAnsi="宋体"/>
          <w:b/>
          <w:szCs w:val="21"/>
          <w:highlight w:val="none"/>
          <w:u w:val="single"/>
        </w:rPr>
        <w:t>/</w:t>
      </w:r>
      <w:r>
        <w:rPr>
          <w:rFonts w:hint="eastAsia" w:ascii="宋体" w:hAnsi="宋体"/>
          <w:szCs w:val="21"/>
          <w:highlight w:val="none"/>
          <w:u w:val="single"/>
        </w:rPr>
        <w:t xml:space="preserve">        </w:t>
      </w:r>
      <w:r>
        <w:rPr>
          <w:rFonts w:hint="eastAsia" w:ascii="宋体" w:hAnsi="宋体"/>
          <w:szCs w:val="21"/>
          <w:highlight w:val="none"/>
        </w:rPr>
        <w:t>%扣回，直到扣完为止。</w:t>
      </w:r>
    </w:p>
    <w:p w14:paraId="0B64EEEF">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其他方式：</w:t>
      </w:r>
    </w:p>
    <w:p w14:paraId="0BDD660F">
      <w:pPr>
        <w:pStyle w:val="6"/>
        <w:rPr>
          <w:highlight w:val="none"/>
        </w:rPr>
      </w:pPr>
      <w:bookmarkStart w:id="903" w:name="_Toc461980562"/>
      <w:bookmarkStart w:id="904" w:name="_Toc271290766"/>
      <w:bookmarkStart w:id="905" w:name="_Toc273290792"/>
      <w:bookmarkStart w:id="906" w:name="_Toc9934"/>
      <w:bookmarkStart w:id="907" w:name="_Toc254775557"/>
      <w:bookmarkStart w:id="908" w:name="_Toc520715224"/>
      <w:r>
        <w:rPr>
          <w:rFonts w:hint="eastAsia"/>
          <w:highlight w:val="none"/>
        </w:rPr>
        <w:t>80、</w:t>
      </w:r>
      <w:r>
        <w:rPr>
          <w:rFonts w:hint="eastAsia"/>
          <w:szCs w:val="24"/>
          <w:highlight w:val="none"/>
        </w:rPr>
        <w:t>安全文明施工费</w:t>
      </w:r>
      <w:bookmarkEnd w:id="903"/>
      <w:bookmarkEnd w:id="904"/>
      <w:bookmarkEnd w:id="905"/>
      <w:bookmarkEnd w:id="906"/>
      <w:bookmarkEnd w:id="907"/>
      <w:bookmarkEnd w:id="908"/>
    </w:p>
    <w:p w14:paraId="767E7436">
      <w:pPr>
        <w:spacing w:line="360" w:lineRule="auto"/>
        <w:rPr>
          <w:rFonts w:ascii="宋体" w:hAnsi="宋体"/>
          <w:szCs w:val="21"/>
          <w:highlight w:val="none"/>
        </w:rPr>
      </w:pPr>
      <w:r>
        <w:rPr>
          <w:rFonts w:hint="eastAsia" w:ascii="宋体" w:hAnsi="宋体"/>
          <w:szCs w:val="21"/>
          <w:highlight w:val="none"/>
        </w:rPr>
        <w:t>80.1  安全文明施工费的内容、范围和金额的约定</w:t>
      </w:r>
    </w:p>
    <w:p w14:paraId="1C7058DC">
      <w:pPr>
        <w:spacing w:line="360" w:lineRule="auto"/>
        <w:rPr>
          <w:rFonts w:ascii="宋体" w:hAnsi="宋体"/>
          <w:szCs w:val="21"/>
          <w:highlight w:val="none"/>
        </w:rPr>
      </w:pPr>
      <w:r>
        <w:rPr>
          <w:rFonts w:hint="eastAsia" w:ascii="宋体" w:hAnsi="宋体"/>
          <w:szCs w:val="21"/>
          <w:highlight w:val="none"/>
        </w:rPr>
        <w:t>(1)  安全文明施工的内容及范围</w:t>
      </w:r>
    </w:p>
    <w:p w14:paraId="548290B1">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按合同通用条款的规定，以现行广东省统一工程计价依据的规定为准。</w:t>
      </w:r>
    </w:p>
    <w:p w14:paraId="239FAE83">
      <w:pPr>
        <w:spacing w:line="360" w:lineRule="auto"/>
        <w:rPr>
          <w:rFonts w:ascii="宋体" w:hAnsi="宋体"/>
          <w:szCs w:val="21"/>
          <w:highlight w:val="none"/>
        </w:rPr>
      </w:pPr>
      <w:r>
        <w:rPr>
          <w:rFonts w:hint="eastAsia" w:ascii="宋体" w:hAnsi="宋体"/>
          <w:szCs w:val="21"/>
          <w:highlight w:val="none"/>
        </w:rPr>
        <w:t>■  合同双方的其他要求：安全防护、文明施工措施的内容、范围详见广东省统一计价依据的规定及东建[2008]3号《关于建筑工程安全防护、文明施工措施管理规定》。</w:t>
      </w:r>
    </w:p>
    <w:p w14:paraId="039F3142">
      <w:pPr>
        <w:spacing w:line="360" w:lineRule="auto"/>
        <w:rPr>
          <w:rFonts w:ascii="宋体" w:hAnsi="宋体"/>
          <w:szCs w:val="21"/>
          <w:highlight w:val="none"/>
        </w:rPr>
      </w:pPr>
      <w:r>
        <w:rPr>
          <w:rFonts w:hint="eastAsia" w:ascii="宋体" w:hAnsi="宋体"/>
          <w:szCs w:val="21"/>
          <w:highlight w:val="none"/>
        </w:rPr>
        <w:t xml:space="preserve"> (2)  安全文明施工措施费的总额为：</w:t>
      </w:r>
      <w:r>
        <w:rPr>
          <w:rFonts w:hint="eastAsia" w:ascii="宋体" w:hAnsi="宋体" w:cs="宋体"/>
          <w:szCs w:val="21"/>
          <w:highlight w:val="none"/>
          <w:u w:val="single"/>
        </w:rPr>
        <w:t xml:space="preserve">         </w:t>
      </w:r>
      <w:r>
        <w:rPr>
          <w:rFonts w:hint="eastAsia" w:ascii="宋体" w:hAnsi="宋体" w:cs="宋体"/>
          <w:szCs w:val="21"/>
          <w:highlight w:val="none"/>
        </w:rPr>
        <w:t>，人民币（小写）：</w:t>
      </w:r>
      <w:r>
        <w:rPr>
          <w:rFonts w:hint="eastAsia" w:ascii="宋体" w:hAnsi="宋体" w:cs="宋体"/>
          <w:szCs w:val="21"/>
          <w:highlight w:val="none"/>
          <w:u w:val="single"/>
        </w:rPr>
        <w:t xml:space="preserve">       </w:t>
      </w:r>
      <w:r>
        <w:rPr>
          <w:rFonts w:hint="eastAsia" w:ascii="宋体" w:hAnsi="宋体" w:cs="宋体"/>
          <w:szCs w:val="21"/>
          <w:highlight w:val="none"/>
        </w:rPr>
        <w:t>元。</w:t>
      </w:r>
    </w:p>
    <w:p w14:paraId="58183D30">
      <w:pPr>
        <w:spacing w:line="360" w:lineRule="auto"/>
        <w:rPr>
          <w:rFonts w:ascii="宋体" w:hAnsi="宋体"/>
          <w:szCs w:val="21"/>
          <w:highlight w:val="none"/>
        </w:rPr>
      </w:pPr>
      <w:bookmarkStart w:id="909" w:name="_Toc404592657"/>
      <w:bookmarkStart w:id="910" w:name="_Toc259494224"/>
      <w:bookmarkStart w:id="911" w:name="_Toc283188357"/>
      <w:bookmarkStart w:id="912" w:name="_Toc404593017"/>
      <w:bookmarkStart w:id="913" w:name="_Toc44235751"/>
      <w:bookmarkStart w:id="914" w:name="_Toc279710417"/>
      <w:r>
        <w:rPr>
          <w:rFonts w:hint="eastAsia" w:ascii="宋体" w:hAnsi="宋体"/>
          <w:szCs w:val="21"/>
          <w:highlight w:val="none"/>
        </w:rPr>
        <w:t>80.2  安全文明施工费预付金额、支付办法和抵扣方式：</w:t>
      </w:r>
      <w:bookmarkEnd w:id="909"/>
      <w:bookmarkEnd w:id="910"/>
      <w:bookmarkEnd w:id="911"/>
      <w:bookmarkEnd w:id="912"/>
      <w:bookmarkEnd w:id="913"/>
      <w:bookmarkEnd w:id="914"/>
    </w:p>
    <w:p w14:paraId="5D914878">
      <w:pPr>
        <w:spacing w:line="360" w:lineRule="auto"/>
        <w:rPr>
          <w:rFonts w:ascii="宋体" w:hAnsi="宋体"/>
          <w:szCs w:val="21"/>
          <w:highlight w:val="none"/>
        </w:rPr>
      </w:pPr>
      <w:r>
        <w:rPr>
          <w:rFonts w:hint="eastAsia" w:ascii="宋体" w:hAnsi="宋体"/>
          <w:szCs w:val="21"/>
          <w:highlight w:val="none"/>
        </w:rPr>
        <w:t>□ 通用条款64.2款的规定；</w:t>
      </w:r>
    </w:p>
    <w:p w14:paraId="6BF03409">
      <w:pPr>
        <w:spacing w:line="360" w:lineRule="auto"/>
        <w:rPr>
          <w:rFonts w:ascii="宋体" w:hAnsi="宋体"/>
          <w:szCs w:val="21"/>
          <w:highlight w:val="none"/>
        </w:rPr>
      </w:pPr>
      <w:r>
        <w:rPr>
          <w:rFonts w:hint="eastAsia" w:ascii="宋体" w:hAnsi="宋体"/>
          <w:szCs w:val="21"/>
          <w:highlight w:val="none"/>
        </w:rPr>
        <w:t>■ 其他：</w:t>
      </w:r>
      <w:r>
        <w:rPr>
          <w:rFonts w:hint="eastAsia" w:ascii="宋体" w:hAnsi="宋体"/>
          <w:b/>
          <w:szCs w:val="21"/>
          <w:highlight w:val="none"/>
        </w:rPr>
        <w:t>当工程施工合同签定并提交请款报告及履约担保书后10天内，支付该措施费用的50%；当完成总工程量的80%并提交请款报告后30天内，支付该措施费用的50%。如果工程竣工安全评价不合格的，则只支付该措施费用的70%，多支付部分由招标人在未支付的工程款中扣回。</w:t>
      </w:r>
    </w:p>
    <w:p w14:paraId="1D387EB9">
      <w:pPr>
        <w:pStyle w:val="6"/>
        <w:rPr>
          <w:highlight w:val="none"/>
        </w:rPr>
      </w:pPr>
      <w:bookmarkStart w:id="915" w:name="_Toc520715227"/>
      <w:bookmarkStart w:id="916" w:name="_Toc273290795"/>
      <w:bookmarkStart w:id="917" w:name="_Toc271290769"/>
      <w:bookmarkStart w:id="918" w:name="_Toc254775558"/>
      <w:bookmarkStart w:id="919" w:name="_Toc19181"/>
      <w:bookmarkStart w:id="920" w:name="_Toc461980565"/>
      <w:r>
        <w:rPr>
          <w:rFonts w:hint="eastAsia"/>
          <w:highlight w:val="none"/>
        </w:rPr>
        <w:t>81、</w:t>
      </w:r>
      <w:r>
        <w:rPr>
          <w:rFonts w:hint="eastAsia"/>
          <w:szCs w:val="24"/>
          <w:highlight w:val="none"/>
        </w:rPr>
        <w:t>进度款</w:t>
      </w:r>
      <w:bookmarkEnd w:id="915"/>
      <w:bookmarkEnd w:id="916"/>
      <w:bookmarkEnd w:id="917"/>
      <w:bookmarkEnd w:id="918"/>
      <w:bookmarkEnd w:id="919"/>
      <w:bookmarkEnd w:id="920"/>
    </w:p>
    <w:p w14:paraId="591CC57B">
      <w:pPr>
        <w:spacing w:line="360" w:lineRule="auto"/>
        <w:rPr>
          <w:rFonts w:ascii="宋体" w:hAnsi="宋体"/>
          <w:szCs w:val="21"/>
          <w:highlight w:val="none"/>
        </w:rPr>
      </w:pPr>
      <w:bookmarkStart w:id="921" w:name="_Toc44235752"/>
      <w:bookmarkStart w:id="922" w:name="_Toc520715228"/>
      <w:bookmarkStart w:id="923" w:name="_Toc334014729"/>
      <w:bookmarkStart w:id="924" w:name="_Toc273290796"/>
      <w:bookmarkStart w:id="925" w:name="_Toc461980566"/>
      <w:bookmarkStart w:id="926" w:name="_Toc263775914"/>
      <w:bookmarkStart w:id="927" w:name="_Toc271290770"/>
      <w:bookmarkStart w:id="928" w:name="_Toc14054"/>
      <w:r>
        <w:rPr>
          <w:rFonts w:hint="eastAsia" w:ascii="宋体" w:hAnsi="宋体"/>
          <w:szCs w:val="21"/>
          <w:highlight w:val="none"/>
        </w:rPr>
        <w:t>81.1 约定支付期限和提交支付申请</w:t>
      </w:r>
      <w:bookmarkEnd w:id="921"/>
      <w:bookmarkEnd w:id="922"/>
      <w:bookmarkEnd w:id="923"/>
      <w:bookmarkEnd w:id="924"/>
      <w:bookmarkEnd w:id="925"/>
      <w:bookmarkEnd w:id="926"/>
      <w:bookmarkEnd w:id="927"/>
      <w:bookmarkEnd w:id="928"/>
    </w:p>
    <w:p w14:paraId="63F2835A">
      <w:pPr>
        <w:spacing w:line="360" w:lineRule="auto"/>
        <w:rPr>
          <w:rFonts w:ascii="宋体" w:hAnsi="宋体"/>
          <w:szCs w:val="21"/>
          <w:highlight w:val="none"/>
        </w:rPr>
      </w:pPr>
      <w:r>
        <w:rPr>
          <w:rFonts w:hint="eastAsia" w:ascii="宋体" w:hAnsi="宋体"/>
          <w:szCs w:val="21"/>
          <w:highlight w:val="none"/>
        </w:rPr>
        <w:t>本款更改为：</w:t>
      </w:r>
    </w:p>
    <w:p w14:paraId="23F66EB2">
      <w:pPr>
        <w:spacing w:line="360" w:lineRule="auto"/>
        <w:rPr>
          <w:rFonts w:ascii="宋体" w:hAnsi="宋体"/>
          <w:szCs w:val="21"/>
          <w:highlight w:val="none"/>
        </w:rPr>
      </w:pPr>
      <w:r>
        <w:rPr>
          <w:rFonts w:hint="eastAsia" w:ascii="宋体" w:hAnsi="宋体"/>
          <w:szCs w:val="21"/>
          <w:highlight w:val="none"/>
        </w:rPr>
        <w:t>支付期间：</w:t>
      </w:r>
    </w:p>
    <w:p w14:paraId="1EB4B712">
      <w:pPr>
        <w:spacing w:line="360" w:lineRule="auto"/>
        <w:rPr>
          <w:rFonts w:ascii="宋体" w:hAnsi="宋体"/>
          <w:szCs w:val="21"/>
          <w:highlight w:val="none"/>
        </w:rPr>
      </w:pPr>
      <w:r>
        <w:rPr>
          <w:rFonts w:hint="eastAsia" w:ascii="宋体" w:hAnsi="宋体"/>
          <w:szCs w:val="21"/>
          <w:highlight w:val="none"/>
        </w:rPr>
        <w:t>■ 以月为单位；</w:t>
      </w:r>
    </w:p>
    <w:p w14:paraId="794E641C">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以季度为单位；</w:t>
      </w:r>
    </w:p>
    <w:p w14:paraId="7745FE0A">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以形象进度为准，具体为：</w:t>
      </w:r>
    </w:p>
    <w:p w14:paraId="46E88249">
      <w:pPr>
        <w:spacing w:line="360" w:lineRule="auto"/>
        <w:rPr>
          <w:rFonts w:hAnsi="宋体"/>
          <w:b/>
          <w:szCs w:val="21"/>
          <w:highlight w:val="none"/>
        </w:rPr>
      </w:pPr>
      <w:r>
        <w:rPr>
          <w:rFonts w:hint="eastAsia" w:hAnsi="宋体"/>
          <w:b/>
          <w:szCs w:val="21"/>
          <w:highlight w:val="none"/>
        </w:rPr>
        <w:t>承包人应在每个支付期间结束后的7天内向监理工程师发出由承包人代表签署的已完工程款额报告和支付申请一式四份，详细说明此支付期间自己认为有权获得的款额，包括分包人、指定分包人已完工程的价款，并抄送发包人和监理工程师各一份。该支付申请的内容包括：</w:t>
      </w:r>
    </w:p>
    <w:p w14:paraId="5980ACAA">
      <w:pPr>
        <w:spacing w:line="360" w:lineRule="auto"/>
        <w:rPr>
          <w:rFonts w:ascii="宋体" w:hAnsi="宋体"/>
          <w:b/>
          <w:szCs w:val="21"/>
          <w:highlight w:val="none"/>
        </w:rPr>
      </w:pPr>
      <w:r>
        <w:rPr>
          <w:rFonts w:hint="eastAsia" w:ascii="宋体" w:hAnsi="宋体"/>
          <w:b/>
          <w:szCs w:val="21"/>
          <w:highlight w:val="none"/>
        </w:rPr>
        <w:t>(1) 已完工程的价款；</w:t>
      </w:r>
    </w:p>
    <w:p w14:paraId="19B041D3">
      <w:pPr>
        <w:spacing w:line="360" w:lineRule="auto"/>
        <w:rPr>
          <w:rFonts w:ascii="宋体" w:hAnsi="宋体"/>
          <w:b/>
          <w:szCs w:val="21"/>
          <w:highlight w:val="none"/>
        </w:rPr>
      </w:pPr>
      <w:r>
        <w:rPr>
          <w:rFonts w:hint="eastAsia" w:ascii="宋体" w:hAnsi="宋体"/>
          <w:b/>
          <w:szCs w:val="21"/>
          <w:highlight w:val="none"/>
        </w:rPr>
        <w:t>(2) 已实际支付的工程价款；</w:t>
      </w:r>
    </w:p>
    <w:p w14:paraId="283C8D1D">
      <w:pPr>
        <w:spacing w:line="360" w:lineRule="auto"/>
        <w:rPr>
          <w:rFonts w:ascii="宋体" w:hAnsi="宋体"/>
          <w:b/>
          <w:szCs w:val="21"/>
          <w:highlight w:val="none"/>
        </w:rPr>
      </w:pPr>
      <w:r>
        <w:rPr>
          <w:rFonts w:hint="eastAsia" w:ascii="宋体" w:hAnsi="宋体"/>
          <w:b/>
          <w:szCs w:val="21"/>
          <w:highlight w:val="none"/>
        </w:rPr>
        <w:t>(3) 本期间完成工程价款；</w:t>
      </w:r>
    </w:p>
    <w:p w14:paraId="44B1682A">
      <w:pPr>
        <w:spacing w:line="360" w:lineRule="auto"/>
        <w:rPr>
          <w:rFonts w:ascii="宋体" w:hAnsi="宋体"/>
          <w:b/>
          <w:szCs w:val="21"/>
          <w:highlight w:val="none"/>
        </w:rPr>
      </w:pPr>
      <w:r>
        <w:rPr>
          <w:rFonts w:hint="eastAsia" w:ascii="宋体" w:hAnsi="宋体"/>
          <w:b/>
          <w:szCs w:val="21"/>
          <w:highlight w:val="none"/>
        </w:rPr>
        <w:t>(4) 本期间完成的计工日价款；</w:t>
      </w:r>
    </w:p>
    <w:p w14:paraId="02B47106">
      <w:pPr>
        <w:spacing w:line="360" w:lineRule="auto"/>
        <w:rPr>
          <w:rFonts w:ascii="宋体" w:hAnsi="宋体"/>
          <w:b/>
          <w:szCs w:val="21"/>
          <w:highlight w:val="none"/>
        </w:rPr>
      </w:pPr>
      <w:r>
        <w:rPr>
          <w:rFonts w:hint="eastAsia" w:ascii="宋体" w:hAnsi="宋体"/>
          <w:b/>
          <w:szCs w:val="21"/>
          <w:highlight w:val="none"/>
        </w:rPr>
        <w:t>(5) 本期间应支付的暂列金额价款；</w:t>
      </w:r>
    </w:p>
    <w:p w14:paraId="78C6920B">
      <w:pPr>
        <w:spacing w:line="360" w:lineRule="auto"/>
        <w:rPr>
          <w:rFonts w:ascii="宋体" w:hAnsi="宋体"/>
          <w:b/>
          <w:szCs w:val="21"/>
          <w:highlight w:val="none"/>
        </w:rPr>
      </w:pPr>
      <w:r>
        <w:rPr>
          <w:rFonts w:hint="eastAsia" w:ascii="宋体" w:hAnsi="宋体"/>
          <w:b/>
          <w:szCs w:val="21"/>
          <w:highlight w:val="none"/>
        </w:rPr>
        <w:t>(6) 根据第66条规定本期间应扣除的误期赔偿费；</w:t>
      </w:r>
    </w:p>
    <w:p w14:paraId="233B274D">
      <w:pPr>
        <w:spacing w:line="360" w:lineRule="auto"/>
        <w:rPr>
          <w:rFonts w:ascii="宋体" w:hAnsi="宋体"/>
          <w:b/>
          <w:szCs w:val="21"/>
          <w:highlight w:val="none"/>
        </w:rPr>
      </w:pPr>
      <w:r>
        <w:rPr>
          <w:rFonts w:hint="eastAsia" w:ascii="宋体" w:hAnsi="宋体"/>
          <w:b/>
          <w:szCs w:val="21"/>
          <w:highlight w:val="none"/>
        </w:rPr>
        <w:t>(7) 根据第68条和第76条规定应支付的调整工程变更价款；</w:t>
      </w:r>
    </w:p>
    <w:p w14:paraId="0017E088">
      <w:pPr>
        <w:spacing w:line="360" w:lineRule="auto"/>
        <w:rPr>
          <w:rFonts w:ascii="宋体" w:hAnsi="宋体"/>
          <w:b/>
          <w:szCs w:val="21"/>
          <w:highlight w:val="none"/>
        </w:rPr>
      </w:pPr>
      <w:r>
        <w:rPr>
          <w:rFonts w:hint="eastAsia" w:ascii="宋体" w:hAnsi="宋体"/>
          <w:b/>
          <w:szCs w:val="21"/>
          <w:highlight w:val="none"/>
        </w:rPr>
        <w:t>(8) 根据第79条本期间应扣回的预付款；</w:t>
      </w:r>
    </w:p>
    <w:p w14:paraId="3AC8F468">
      <w:pPr>
        <w:spacing w:line="360" w:lineRule="auto"/>
        <w:rPr>
          <w:rFonts w:ascii="宋体" w:hAnsi="宋体"/>
          <w:b/>
          <w:szCs w:val="21"/>
          <w:highlight w:val="none"/>
        </w:rPr>
      </w:pPr>
      <w:r>
        <w:rPr>
          <w:rFonts w:hint="eastAsia" w:ascii="宋体" w:hAnsi="宋体"/>
          <w:b/>
          <w:szCs w:val="21"/>
          <w:highlight w:val="none"/>
        </w:rPr>
        <w:t>(9) 根据第80条规定本期间应支付的安全文明施工费；</w:t>
      </w:r>
    </w:p>
    <w:p w14:paraId="487EBDF5">
      <w:pPr>
        <w:spacing w:line="360" w:lineRule="auto"/>
        <w:rPr>
          <w:rFonts w:ascii="宋体" w:hAnsi="宋体"/>
          <w:b/>
          <w:szCs w:val="21"/>
          <w:highlight w:val="none"/>
        </w:rPr>
      </w:pPr>
      <w:r>
        <w:rPr>
          <w:rFonts w:hint="eastAsia" w:ascii="宋体" w:hAnsi="宋体"/>
          <w:b/>
          <w:szCs w:val="21"/>
          <w:highlight w:val="none"/>
        </w:rPr>
        <w:t>(10) 根据第84条本期间应扣留的质量保证金；</w:t>
      </w:r>
    </w:p>
    <w:p w14:paraId="58CA7A6A">
      <w:pPr>
        <w:spacing w:line="360" w:lineRule="auto"/>
        <w:rPr>
          <w:rFonts w:ascii="宋体" w:hAnsi="宋体"/>
          <w:b/>
          <w:szCs w:val="21"/>
          <w:highlight w:val="none"/>
        </w:rPr>
      </w:pPr>
      <w:r>
        <w:rPr>
          <w:rFonts w:hint="eastAsia" w:ascii="宋体" w:hAnsi="宋体"/>
          <w:b/>
          <w:szCs w:val="21"/>
          <w:highlight w:val="none"/>
        </w:rPr>
        <w:t>(11) 应扣留的保留金[保留金额度为：本款第(3)项本期间完成工程价款、第(7)项本期工程变更价款和第(8)项本期物价和后继法律法规的调整价款的合计总额的 20% ]</w:t>
      </w:r>
    </w:p>
    <w:p w14:paraId="4EBF4DA1">
      <w:pPr>
        <w:spacing w:line="360" w:lineRule="auto"/>
        <w:rPr>
          <w:rFonts w:ascii="宋体" w:hAnsi="宋体"/>
          <w:b/>
          <w:szCs w:val="21"/>
          <w:highlight w:val="none"/>
        </w:rPr>
      </w:pPr>
      <w:bookmarkStart w:id="929" w:name="_Toc279710419"/>
      <w:bookmarkStart w:id="930" w:name="_Toc404593019"/>
      <w:bookmarkStart w:id="931" w:name="_Toc404592659"/>
      <w:bookmarkStart w:id="932" w:name="_Toc44235753"/>
      <w:bookmarkStart w:id="933" w:name="_Toc283188359"/>
      <w:r>
        <w:rPr>
          <w:rFonts w:hint="eastAsia" w:ascii="宋体" w:hAnsi="宋体"/>
          <w:b/>
          <w:szCs w:val="21"/>
          <w:highlight w:val="none"/>
        </w:rPr>
        <w:t>(12) 根据合同规定，本期间应支付或扣留（扣回）的其它款项；</w:t>
      </w:r>
      <w:bookmarkEnd w:id="929"/>
      <w:bookmarkEnd w:id="930"/>
      <w:bookmarkEnd w:id="931"/>
      <w:bookmarkEnd w:id="932"/>
      <w:bookmarkEnd w:id="933"/>
    </w:p>
    <w:p w14:paraId="13B16727">
      <w:pPr>
        <w:spacing w:line="360" w:lineRule="auto"/>
        <w:rPr>
          <w:rFonts w:ascii="宋体" w:hAnsi="宋体"/>
          <w:b/>
          <w:szCs w:val="21"/>
          <w:highlight w:val="none"/>
        </w:rPr>
      </w:pPr>
      <w:r>
        <w:rPr>
          <w:rFonts w:hint="eastAsia" w:ascii="宋体" w:hAnsi="宋体"/>
          <w:b/>
          <w:szCs w:val="21"/>
          <w:highlight w:val="none"/>
        </w:rPr>
        <w:t>(13) 本期间应支付的工程价款。</w:t>
      </w:r>
    </w:p>
    <w:p w14:paraId="54E9AAE3">
      <w:pPr>
        <w:spacing w:line="360" w:lineRule="auto"/>
        <w:rPr>
          <w:rFonts w:ascii="宋体" w:hAnsi="宋体"/>
          <w:b/>
          <w:szCs w:val="21"/>
          <w:highlight w:val="none"/>
        </w:rPr>
      </w:pPr>
      <w:r>
        <w:rPr>
          <w:rFonts w:hint="eastAsia" w:ascii="宋体" w:hAnsi="宋体"/>
          <w:b/>
          <w:szCs w:val="21"/>
          <w:highlight w:val="none"/>
        </w:rPr>
        <w:t>监理工程师在收到上述资料后14天内，核实形象进度及施工质量情况，出具《形象进度审核表》，并报发包人代表签认，转交造价工程师作为审核当期进度款的工程量依据。</w:t>
      </w:r>
    </w:p>
    <w:p w14:paraId="4FD2E4A2">
      <w:pPr>
        <w:spacing w:line="360" w:lineRule="auto"/>
        <w:rPr>
          <w:rFonts w:ascii="宋体" w:hAnsi="宋体"/>
          <w:szCs w:val="21"/>
          <w:highlight w:val="none"/>
        </w:rPr>
      </w:pPr>
      <w:r>
        <w:rPr>
          <w:rFonts w:hint="eastAsia" w:ascii="宋体" w:hAnsi="宋体"/>
          <w:b/>
          <w:szCs w:val="21"/>
          <w:highlight w:val="none"/>
        </w:rPr>
        <w:t>末经监理工程师确认质量及格的工程，不得计量进度款。</w:t>
      </w:r>
    </w:p>
    <w:p w14:paraId="2BDA0CBD">
      <w:pPr>
        <w:spacing w:line="360" w:lineRule="auto"/>
        <w:rPr>
          <w:rFonts w:ascii="宋体" w:hAnsi="宋体"/>
          <w:szCs w:val="21"/>
          <w:highlight w:val="none"/>
        </w:rPr>
      </w:pPr>
      <w:bookmarkStart w:id="934" w:name="_Toc259494226"/>
      <w:bookmarkStart w:id="935" w:name="_Toc404592660"/>
      <w:bookmarkStart w:id="936" w:name="_Toc44235754"/>
      <w:bookmarkStart w:id="937" w:name="_Toc283188360"/>
      <w:bookmarkStart w:id="938" w:name="_Toc279710420"/>
      <w:bookmarkStart w:id="939" w:name="_Toc404593020"/>
      <w:r>
        <w:rPr>
          <w:rFonts w:hint="eastAsia" w:ascii="宋体" w:hAnsi="宋体"/>
          <w:szCs w:val="21"/>
          <w:highlight w:val="none"/>
        </w:rPr>
        <w:t>81.2  签发期中支付证书</w:t>
      </w:r>
      <w:bookmarkEnd w:id="934"/>
      <w:bookmarkEnd w:id="935"/>
      <w:bookmarkEnd w:id="936"/>
      <w:bookmarkEnd w:id="937"/>
      <w:bookmarkEnd w:id="938"/>
      <w:bookmarkEnd w:id="939"/>
    </w:p>
    <w:p w14:paraId="0C117903">
      <w:pPr>
        <w:spacing w:line="360" w:lineRule="auto"/>
        <w:rPr>
          <w:rFonts w:ascii="宋体" w:hAnsi="宋体"/>
          <w:b/>
          <w:szCs w:val="21"/>
          <w:highlight w:val="none"/>
        </w:rPr>
      </w:pPr>
      <w:bookmarkStart w:id="940" w:name="_Toc259494227"/>
      <w:bookmarkStart w:id="941" w:name="_Toc279710421"/>
      <w:bookmarkStart w:id="942" w:name="_Toc283188361"/>
      <w:bookmarkStart w:id="943" w:name="_Toc44235755"/>
      <w:bookmarkStart w:id="944" w:name="_Toc404592661"/>
      <w:bookmarkStart w:id="945" w:name="_Toc404593021"/>
      <w:r>
        <w:rPr>
          <w:rFonts w:hint="eastAsia" w:ascii="宋体" w:hAnsi="宋体"/>
          <w:szCs w:val="21"/>
          <w:highlight w:val="none"/>
        </w:rPr>
        <w:t>本款更改为：</w:t>
      </w:r>
      <w:bookmarkEnd w:id="940"/>
      <w:bookmarkStart w:id="946" w:name="_Toc259494228"/>
      <w:r>
        <w:rPr>
          <w:rFonts w:hint="eastAsia" w:ascii="宋体" w:hAnsi="宋体"/>
          <w:b/>
          <w:szCs w:val="21"/>
          <w:highlight w:val="none"/>
        </w:rPr>
        <w:t>造价工程师在收到上述资料后，应按第62条的规定进行计量，并根据计量结果和合同约定对资料内容予以核实，在收到上述资料后的14天内报发包人确认后向发包人发出期中支付证书，同时抄送承包人。</w:t>
      </w:r>
      <w:bookmarkEnd w:id="941"/>
      <w:bookmarkEnd w:id="942"/>
      <w:bookmarkEnd w:id="943"/>
      <w:bookmarkEnd w:id="944"/>
      <w:bookmarkEnd w:id="945"/>
      <w:bookmarkEnd w:id="946"/>
    </w:p>
    <w:p w14:paraId="460B4CD8">
      <w:pPr>
        <w:spacing w:line="360" w:lineRule="auto"/>
        <w:rPr>
          <w:rFonts w:ascii="宋体" w:hAnsi="宋体"/>
          <w:szCs w:val="21"/>
          <w:highlight w:val="none"/>
        </w:rPr>
      </w:pPr>
      <w:bookmarkStart w:id="947" w:name="_Toc44235756"/>
      <w:bookmarkStart w:id="948" w:name="_Toc279710422"/>
      <w:bookmarkStart w:id="949" w:name="_Toc259494229"/>
      <w:bookmarkStart w:id="950" w:name="_Toc404592662"/>
      <w:bookmarkStart w:id="951" w:name="_Toc404593022"/>
      <w:bookmarkStart w:id="952" w:name="_Toc283188362"/>
      <w:r>
        <w:rPr>
          <w:rFonts w:hint="eastAsia" w:ascii="宋体" w:hAnsi="宋体"/>
          <w:b/>
          <w:szCs w:val="21"/>
          <w:highlight w:val="none"/>
        </w:rPr>
        <w:t>如果该支付期间应支付金额少于期中支付证书的最低限额（合同总价的0.3%）时，造价工程师不必按本款开具任何支付证书，但应通知发包人和承包人。上述款额转期结算，直到累计应支付的款额达到专用条款约定的期中支付证书的最低限额为止。</w:t>
      </w:r>
      <w:bookmarkEnd w:id="947"/>
      <w:bookmarkEnd w:id="948"/>
      <w:bookmarkEnd w:id="949"/>
      <w:bookmarkEnd w:id="950"/>
      <w:bookmarkEnd w:id="951"/>
      <w:bookmarkEnd w:id="952"/>
    </w:p>
    <w:p w14:paraId="48C61D63">
      <w:pPr>
        <w:spacing w:line="360" w:lineRule="auto"/>
        <w:rPr>
          <w:rFonts w:ascii="宋体" w:hAnsi="宋体"/>
          <w:szCs w:val="21"/>
          <w:highlight w:val="none"/>
        </w:rPr>
      </w:pPr>
      <w:r>
        <w:rPr>
          <w:rFonts w:hint="eastAsia" w:ascii="宋体" w:hAnsi="宋体"/>
          <w:szCs w:val="21"/>
          <w:highlight w:val="none"/>
        </w:rPr>
        <w:t>81.3进度款支付</w:t>
      </w:r>
    </w:p>
    <w:p w14:paraId="159A95C8">
      <w:pPr>
        <w:spacing w:line="360" w:lineRule="auto"/>
        <w:rPr>
          <w:rFonts w:hint="eastAsia" w:ascii="宋体" w:hAnsi="宋体"/>
          <w:color w:val="auto"/>
          <w:highlight w:val="none"/>
        </w:rPr>
      </w:pPr>
      <w:r>
        <w:rPr>
          <w:rFonts w:hint="eastAsia" w:ascii="宋体" w:hAnsi="宋体"/>
          <w:szCs w:val="21"/>
          <w:highlight w:val="none"/>
        </w:rPr>
        <w:t>每期进度款按经造价工程师审核确定的当期造价的80%支付，当工程进度款支付总额达合同总价（不含安全文明施工措施费）的</w:t>
      </w:r>
      <w:r>
        <w:rPr>
          <w:rFonts w:hint="eastAsia" w:ascii="宋体" w:hAnsi="宋体"/>
          <w:szCs w:val="21"/>
          <w:highlight w:val="none"/>
          <w:u w:val="single"/>
        </w:rPr>
        <w:t>80</w:t>
      </w:r>
      <w:r>
        <w:rPr>
          <w:rFonts w:hint="eastAsia" w:ascii="宋体" w:hAnsi="宋体"/>
          <w:szCs w:val="21"/>
          <w:highlight w:val="none"/>
        </w:rPr>
        <w:t>% 时，不再按进度付款，完成</w:t>
      </w:r>
      <w:r>
        <w:rPr>
          <w:rFonts w:hint="eastAsia" w:ascii="宋体" w:hAnsi="宋体"/>
          <w:highlight w:val="none"/>
        </w:rPr>
        <w:t>竣工结算并在承包人提交银行履约保函（结算款总额的3</w:t>
      </w:r>
      <w:r>
        <w:rPr>
          <w:rFonts w:hint="eastAsia" w:ascii="宋体" w:hAnsi="宋体"/>
          <w:color w:val="auto"/>
          <w:highlight w:val="none"/>
        </w:rPr>
        <w:t>%）后支付至结算款总额的97%。</w:t>
      </w:r>
    </w:p>
    <w:p w14:paraId="60C21812">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本条文末增加81.4款</w:t>
      </w:r>
    </w:p>
    <w:p w14:paraId="4639546F">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81.4工程款支付达合同价80%时不再按进度付款，待竣工验收合格按规定审核结算确认，承包人提交请款报告后</w:t>
      </w:r>
      <w:r>
        <w:rPr>
          <w:rFonts w:hint="eastAsia" w:ascii="宋体" w:hAnsi="宋体"/>
          <w:color w:val="auto"/>
          <w:szCs w:val="21"/>
          <w:highlight w:val="none"/>
          <w:lang w:val="en-US" w:eastAsia="zh-CN"/>
        </w:rPr>
        <w:t>28</w:t>
      </w:r>
      <w:r>
        <w:rPr>
          <w:rFonts w:hint="eastAsia" w:ascii="宋体" w:hAnsi="宋体"/>
          <w:color w:val="auto"/>
          <w:szCs w:val="21"/>
          <w:highlight w:val="none"/>
        </w:rPr>
        <w:t xml:space="preserve"> 天内付至结算价的97%。</w:t>
      </w:r>
    </w:p>
    <w:p w14:paraId="2125E53A">
      <w:pPr>
        <w:pStyle w:val="6"/>
        <w:rPr>
          <w:color w:val="auto"/>
          <w:highlight w:val="none"/>
        </w:rPr>
      </w:pPr>
      <w:bookmarkStart w:id="953" w:name="_Toc273290800"/>
      <w:bookmarkStart w:id="954" w:name="_Toc461980570"/>
      <w:bookmarkStart w:id="955" w:name="_Toc520715232"/>
      <w:bookmarkStart w:id="956" w:name="_Toc21077"/>
      <w:bookmarkStart w:id="957" w:name="_Toc271290773"/>
      <w:bookmarkStart w:id="958" w:name="_Toc254775559"/>
      <w:r>
        <w:rPr>
          <w:rFonts w:hint="eastAsia"/>
          <w:color w:val="auto"/>
          <w:highlight w:val="none"/>
        </w:rPr>
        <w:t>82、竣工结算</w:t>
      </w:r>
      <w:bookmarkEnd w:id="953"/>
      <w:bookmarkEnd w:id="954"/>
      <w:bookmarkEnd w:id="955"/>
      <w:bookmarkEnd w:id="956"/>
      <w:bookmarkEnd w:id="957"/>
      <w:bookmarkEnd w:id="958"/>
    </w:p>
    <w:p w14:paraId="15B4F8F8">
      <w:pPr>
        <w:spacing w:line="360" w:lineRule="auto"/>
        <w:rPr>
          <w:rFonts w:ascii="宋体" w:hAnsi="宋体"/>
          <w:color w:val="auto"/>
          <w:szCs w:val="21"/>
          <w:highlight w:val="none"/>
        </w:rPr>
      </w:pPr>
      <w:bookmarkStart w:id="959" w:name="_Toc283188364"/>
      <w:bookmarkStart w:id="960" w:name="_Toc259494231"/>
      <w:bookmarkStart w:id="961" w:name="_Toc44235757"/>
      <w:bookmarkStart w:id="962" w:name="_Toc404593024"/>
      <w:bookmarkStart w:id="963" w:name="_Toc404592664"/>
      <w:bookmarkStart w:id="964" w:name="_Toc279710424"/>
      <w:r>
        <w:rPr>
          <w:rFonts w:hint="eastAsia" w:ascii="宋体" w:hAnsi="宋体"/>
          <w:color w:val="auto"/>
          <w:szCs w:val="21"/>
          <w:highlight w:val="none"/>
        </w:rPr>
        <w:t>82.1  结算的程序和时限：</w:t>
      </w:r>
      <w:bookmarkEnd w:id="959"/>
      <w:bookmarkEnd w:id="960"/>
      <w:bookmarkEnd w:id="961"/>
      <w:bookmarkEnd w:id="962"/>
      <w:bookmarkEnd w:id="963"/>
      <w:bookmarkEnd w:id="964"/>
    </w:p>
    <w:p w14:paraId="37838FC2">
      <w:pPr>
        <w:spacing w:line="360" w:lineRule="auto"/>
        <w:rPr>
          <w:rFonts w:ascii="宋体" w:hAnsi="宋体"/>
          <w:color w:val="auto"/>
          <w:szCs w:val="21"/>
          <w:highlight w:val="none"/>
        </w:rPr>
      </w:pPr>
      <w:bookmarkStart w:id="965" w:name="_Toc44235758"/>
      <w:r>
        <w:rPr>
          <w:rFonts w:ascii="宋体" w:hAnsi="宋体"/>
          <w:color w:val="auto"/>
          <w:szCs w:val="21"/>
          <w:highlight w:val="none"/>
        </w:rPr>
        <w:t>□</w:t>
      </w:r>
      <w:r>
        <w:rPr>
          <w:rFonts w:hint="eastAsia" w:ascii="宋体" w:hAnsi="宋体"/>
          <w:color w:val="auto"/>
          <w:szCs w:val="21"/>
          <w:highlight w:val="none"/>
        </w:rPr>
        <w:t xml:space="preserve">  按合同通用条款的规定办理；</w:t>
      </w:r>
      <w:bookmarkEnd w:id="965"/>
    </w:p>
    <w:p w14:paraId="2B135263">
      <w:pPr>
        <w:spacing w:line="360" w:lineRule="auto"/>
        <w:rPr>
          <w:rFonts w:ascii="宋体" w:hAnsi="宋体"/>
          <w:color w:val="auto"/>
          <w:szCs w:val="21"/>
          <w:highlight w:val="none"/>
        </w:rPr>
      </w:pPr>
      <w:bookmarkStart w:id="966" w:name="_Toc44235759"/>
      <w:r>
        <w:rPr>
          <w:rFonts w:hint="eastAsia" w:ascii="宋体" w:hAnsi="宋体"/>
          <w:color w:val="auto"/>
          <w:szCs w:val="21"/>
          <w:highlight w:val="none"/>
        </w:rPr>
        <w:t>■不按合同通用条款的规定；办理结算程序和时限为：</w:t>
      </w:r>
      <w:bookmarkEnd w:id="966"/>
    </w:p>
    <w:p w14:paraId="4619EA90">
      <w:pPr>
        <w:spacing w:line="360" w:lineRule="auto"/>
        <w:rPr>
          <w:rFonts w:ascii="宋体" w:hAnsi="宋体"/>
          <w:color w:val="auto"/>
          <w:szCs w:val="21"/>
          <w:highlight w:val="none"/>
        </w:rPr>
      </w:pPr>
      <w:bookmarkStart w:id="967" w:name="_Toc44235760"/>
      <w:r>
        <w:rPr>
          <w:rFonts w:hint="eastAsia" w:ascii="宋体" w:hAnsi="宋体"/>
          <w:color w:val="auto"/>
          <w:szCs w:val="21"/>
          <w:highlight w:val="none"/>
        </w:rPr>
        <w:t>本工程竣工结算按如下规定办理：</w:t>
      </w:r>
      <w:bookmarkEnd w:id="967"/>
    </w:p>
    <w:p w14:paraId="7D88E0CF">
      <w:pPr>
        <w:spacing w:line="360" w:lineRule="auto"/>
        <w:rPr>
          <w:rFonts w:ascii="宋体" w:hAnsi="宋体"/>
          <w:b/>
          <w:color w:val="auto"/>
          <w:szCs w:val="21"/>
          <w:highlight w:val="none"/>
        </w:rPr>
      </w:pPr>
      <w:bookmarkStart w:id="968" w:name="_Toc44235761"/>
      <w:r>
        <w:rPr>
          <w:rFonts w:hint="eastAsia" w:ascii="宋体" w:hAnsi="宋体"/>
          <w:b/>
          <w:color w:val="auto"/>
          <w:szCs w:val="21"/>
          <w:highlight w:val="none"/>
        </w:rPr>
        <w:t>（1）工程竣工报告经发包人认可后三个月内，承包人向发包人递交竣工结算报告及完整的结算资料。承包人提交的结算报告应由本单位的注册造价工程师编审，并加盖注册执业专用章。如承包人不具备编制结算报告能力，可委托有规定资质的工程造价咨询机构编制。</w:t>
      </w:r>
      <w:bookmarkEnd w:id="968"/>
    </w:p>
    <w:p w14:paraId="288C4FD9">
      <w:pPr>
        <w:spacing w:line="360" w:lineRule="auto"/>
        <w:rPr>
          <w:rFonts w:ascii="宋体" w:hAnsi="宋体"/>
          <w:b/>
          <w:color w:val="auto"/>
          <w:szCs w:val="21"/>
          <w:highlight w:val="none"/>
        </w:rPr>
      </w:pPr>
      <w:bookmarkStart w:id="969" w:name="_Toc44235762"/>
      <w:r>
        <w:rPr>
          <w:rFonts w:hint="eastAsia" w:ascii="宋体" w:hAnsi="宋体"/>
          <w:b/>
          <w:color w:val="auto"/>
          <w:szCs w:val="21"/>
          <w:highlight w:val="none"/>
        </w:rPr>
        <w:t>（2）发包人收到承包人递交的竣工结算报告及完整的结算资料后在60天完成审核，并出具工程竣工结算审核书。在60天内对结算报告及资料没有提出意见，则视同认可。</w:t>
      </w:r>
      <w:bookmarkEnd w:id="969"/>
    </w:p>
    <w:p w14:paraId="2EB9CF6C">
      <w:pPr>
        <w:spacing w:line="360" w:lineRule="auto"/>
        <w:rPr>
          <w:rFonts w:ascii="宋体" w:hAnsi="宋体"/>
          <w:b/>
          <w:color w:val="auto"/>
          <w:szCs w:val="21"/>
          <w:highlight w:val="none"/>
        </w:rPr>
      </w:pPr>
      <w:bookmarkStart w:id="970" w:name="_Toc44235763"/>
      <w:r>
        <w:rPr>
          <w:rFonts w:hint="eastAsia" w:ascii="宋体" w:hAnsi="宋体"/>
          <w:b/>
          <w:color w:val="auto"/>
          <w:szCs w:val="21"/>
          <w:highlight w:val="none"/>
        </w:rPr>
        <w:t>（3）承包人如未在规定时间内提供完整的工程竣工结算资料，经发包人书面催促后14天内仍未提供或书面明确答复的，发包人有权根据已有资料进行审查，所产生的法律责任由承包人负责。</w:t>
      </w:r>
      <w:bookmarkEnd w:id="970"/>
    </w:p>
    <w:p w14:paraId="10510F17">
      <w:pPr>
        <w:spacing w:line="360" w:lineRule="auto"/>
        <w:rPr>
          <w:rFonts w:ascii="宋体" w:hAnsi="宋体"/>
          <w:b/>
          <w:color w:val="auto"/>
          <w:szCs w:val="21"/>
          <w:highlight w:val="none"/>
        </w:rPr>
      </w:pPr>
      <w:bookmarkStart w:id="971" w:name="_Toc44235764"/>
      <w:r>
        <w:rPr>
          <w:rFonts w:hint="eastAsia" w:ascii="宋体" w:hAnsi="宋体"/>
          <w:b/>
          <w:color w:val="auto"/>
          <w:szCs w:val="21"/>
          <w:highlight w:val="none"/>
        </w:rPr>
        <w:t>（4）承包人对发包出具的工程竣工结算审核书应在10天内给予确认或提出修改意见。逾期没有提出意见的，则视同认可，发包人可按工程竣工结算审核书所确定的金额支付工程竣工结算价款。</w:t>
      </w:r>
      <w:bookmarkEnd w:id="971"/>
    </w:p>
    <w:p w14:paraId="790991E0">
      <w:pPr>
        <w:spacing w:line="360" w:lineRule="auto"/>
        <w:rPr>
          <w:rFonts w:ascii="宋体" w:hAnsi="宋体"/>
          <w:b/>
          <w:color w:val="auto"/>
          <w:szCs w:val="21"/>
          <w:highlight w:val="none"/>
        </w:rPr>
      </w:pPr>
      <w:bookmarkStart w:id="972" w:name="_Toc44235765"/>
      <w:r>
        <w:rPr>
          <w:rFonts w:hint="eastAsia" w:ascii="宋体" w:hAnsi="宋体"/>
          <w:b/>
          <w:color w:val="auto"/>
          <w:szCs w:val="21"/>
          <w:highlight w:val="none"/>
        </w:rPr>
        <w:t>（7）发包人根据确认的竣工结算报告向承包人支付工程竣工结算价款，并按工程价款结算总额的5%保留工程质量保证金，待工程缺陷责任期满后清算。</w:t>
      </w:r>
      <w:bookmarkEnd w:id="972"/>
    </w:p>
    <w:p w14:paraId="24BBF55D">
      <w:pPr>
        <w:spacing w:line="360" w:lineRule="auto"/>
        <w:rPr>
          <w:rFonts w:ascii="宋体" w:hAnsi="宋体"/>
          <w:b/>
          <w:szCs w:val="21"/>
          <w:highlight w:val="none"/>
        </w:rPr>
      </w:pPr>
      <w:bookmarkStart w:id="973" w:name="_Toc44235766"/>
      <w:r>
        <w:rPr>
          <w:rFonts w:hint="eastAsia" w:ascii="宋体" w:hAnsi="宋体"/>
          <w:b/>
          <w:color w:val="auto"/>
          <w:szCs w:val="21"/>
          <w:highlight w:val="none"/>
        </w:rPr>
        <w:t>（8）根据确认的工程竣工结</w:t>
      </w:r>
      <w:r>
        <w:rPr>
          <w:rFonts w:hint="eastAsia" w:ascii="宋体" w:hAnsi="宋体"/>
          <w:b/>
          <w:szCs w:val="21"/>
          <w:highlight w:val="none"/>
        </w:rPr>
        <w:t>算审核书，承包人向发包人申请支付工程竣工结算款。发包人应在收到申请后15天内支付结算款，到期没有支付的应承担违约责任。承包人可以催告发包人支付结算价款，如达成延期支付协议，发包人应按同期银行贷款利率支付拖欠工程价款的利息。如未达成延期支付协议，承包人可以与发包人协商将该工程折价，或申请人民法院将该工程依法拍卖，承包人就该工程折价或者拍卖的价款优先受偿。</w:t>
      </w:r>
      <w:bookmarkEnd w:id="973"/>
    </w:p>
    <w:p w14:paraId="5EC9E850">
      <w:pPr>
        <w:spacing w:line="360" w:lineRule="auto"/>
        <w:rPr>
          <w:rFonts w:ascii="宋体" w:hAnsi="宋体"/>
          <w:b/>
          <w:szCs w:val="21"/>
          <w:highlight w:val="none"/>
        </w:rPr>
      </w:pPr>
      <w:bookmarkStart w:id="974" w:name="_Toc44235767"/>
      <w:r>
        <w:rPr>
          <w:rFonts w:hint="eastAsia" w:ascii="宋体" w:hAnsi="宋体"/>
          <w:b/>
          <w:szCs w:val="21"/>
          <w:highlight w:val="none"/>
        </w:rPr>
        <w:t>（9）承包人应当在发包人签认工程竣工报告后7天内将竣工工程交付甲方，并将施工人员、设施等撒出项目场地。拒不交付的,视作工期延误处理。</w:t>
      </w:r>
      <w:bookmarkEnd w:id="974"/>
    </w:p>
    <w:p w14:paraId="29A79F37">
      <w:pPr>
        <w:spacing w:line="360" w:lineRule="auto"/>
        <w:rPr>
          <w:rFonts w:ascii="宋体" w:hAnsi="宋体"/>
          <w:szCs w:val="21"/>
          <w:highlight w:val="none"/>
        </w:rPr>
      </w:pPr>
      <w:bookmarkStart w:id="975" w:name="_Toc44235768"/>
      <w:r>
        <w:rPr>
          <w:rFonts w:hint="eastAsia" w:ascii="宋体" w:hAnsi="宋体"/>
          <w:b/>
          <w:szCs w:val="21"/>
          <w:highlight w:val="none"/>
        </w:rPr>
        <w:t>（10）发包人、承包人双方对工程竣工结算价款发生争议时，按本合同第86条关于争议的约定处理。</w:t>
      </w:r>
      <w:bookmarkEnd w:id="975"/>
    </w:p>
    <w:p w14:paraId="737503B7">
      <w:pPr>
        <w:pStyle w:val="6"/>
        <w:rPr>
          <w:highlight w:val="none"/>
        </w:rPr>
      </w:pPr>
      <w:bookmarkStart w:id="976" w:name="_Toc520715234"/>
      <w:bookmarkStart w:id="977" w:name="_Toc273290802"/>
      <w:bookmarkStart w:id="978" w:name="_Toc25042"/>
      <w:bookmarkStart w:id="979" w:name="_Toc254775560"/>
      <w:bookmarkStart w:id="980" w:name="_Toc271290775"/>
      <w:bookmarkStart w:id="981" w:name="_Toc461980572"/>
      <w:r>
        <w:rPr>
          <w:rFonts w:hint="eastAsia"/>
          <w:highlight w:val="none"/>
        </w:rPr>
        <w:t>84、</w:t>
      </w:r>
      <w:r>
        <w:rPr>
          <w:rFonts w:hint="eastAsia"/>
          <w:szCs w:val="24"/>
          <w:highlight w:val="none"/>
        </w:rPr>
        <w:t>质量保证金</w:t>
      </w:r>
      <w:bookmarkEnd w:id="976"/>
      <w:bookmarkEnd w:id="977"/>
      <w:bookmarkEnd w:id="978"/>
      <w:bookmarkEnd w:id="979"/>
      <w:bookmarkEnd w:id="980"/>
      <w:bookmarkEnd w:id="981"/>
    </w:p>
    <w:p w14:paraId="4194314B">
      <w:pPr>
        <w:spacing w:line="360" w:lineRule="auto"/>
        <w:rPr>
          <w:rFonts w:ascii="宋体" w:hAnsi="宋体"/>
          <w:szCs w:val="21"/>
          <w:highlight w:val="none"/>
        </w:rPr>
      </w:pPr>
      <w:bookmarkStart w:id="982" w:name="_Toc44235769"/>
      <w:bookmarkStart w:id="983" w:name="_Toc334014736"/>
      <w:bookmarkStart w:id="984" w:name="_Toc461980573"/>
      <w:bookmarkStart w:id="985" w:name="_Toc273290803"/>
      <w:bookmarkStart w:id="986" w:name="_Toc30842"/>
      <w:bookmarkStart w:id="987" w:name="_Toc520715235"/>
      <w:r>
        <w:rPr>
          <w:rFonts w:hint="eastAsia" w:ascii="宋体" w:hAnsi="宋体"/>
          <w:szCs w:val="21"/>
          <w:highlight w:val="none"/>
        </w:rPr>
        <w:t>84.2  质量保证金的金额及扣留</w:t>
      </w:r>
      <w:bookmarkEnd w:id="982"/>
      <w:bookmarkEnd w:id="983"/>
      <w:bookmarkEnd w:id="984"/>
      <w:bookmarkEnd w:id="985"/>
      <w:bookmarkEnd w:id="986"/>
      <w:bookmarkEnd w:id="987"/>
    </w:p>
    <w:p w14:paraId="0C3E32F1">
      <w:pPr>
        <w:spacing w:line="360" w:lineRule="auto"/>
        <w:rPr>
          <w:rFonts w:ascii="宋体" w:hAnsi="宋体"/>
          <w:szCs w:val="21"/>
          <w:highlight w:val="none"/>
        </w:rPr>
      </w:pPr>
      <w:r>
        <w:rPr>
          <w:rFonts w:hint="eastAsia" w:ascii="宋体" w:hAnsi="宋体"/>
          <w:szCs w:val="21"/>
          <w:highlight w:val="none"/>
        </w:rPr>
        <w:t>(1)  质量保证金的金额</w:t>
      </w:r>
    </w:p>
    <w:p w14:paraId="1D2215C9">
      <w:pPr>
        <w:spacing w:line="360" w:lineRule="auto"/>
        <w:rPr>
          <w:rFonts w:ascii="宋体" w:hAnsi="宋体"/>
          <w:szCs w:val="21"/>
          <w:highlight w:val="none"/>
        </w:rPr>
      </w:pPr>
      <w:r>
        <w:rPr>
          <w:rFonts w:hint="eastAsia" w:ascii="宋体" w:hAnsi="宋体"/>
          <w:szCs w:val="21"/>
          <w:highlight w:val="none"/>
        </w:rPr>
        <w:t>■  按合同通用条款的规定，即按合同价款的3％。</w:t>
      </w:r>
    </w:p>
    <w:p w14:paraId="322573EC">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其他为</w:t>
      </w:r>
      <w:r>
        <w:rPr>
          <w:rFonts w:hint="eastAsia" w:ascii="宋体" w:hAnsi="宋体"/>
          <w:szCs w:val="21"/>
          <w:highlight w:val="none"/>
          <w:u w:val="single"/>
        </w:rPr>
        <w:t xml:space="preserve">   工程价款结算总额5%    </w:t>
      </w:r>
      <w:r>
        <w:rPr>
          <w:rFonts w:hint="eastAsia" w:ascii="宋体" w:hAnsi="宋体"/>
          <w:szCs w:val="21"/>
          <w:highlight w:val="none"/>
        </w:rPr>
        <w:t>。</w:t>
      </w:r>
    </w:p>
    <w:p w14:paraId="65E206A8">
      <w:pPr>
        <w:spacing w:line="360" w:lineRule="auto"/>
        <w:rPr>
          <w:rFonts w:ascii="宋体" w:hAnsi="宋体"/>
          <w:szCs w:val="21"/>
          <w:highlight w:val="none"/>
        </w:rPr>
      </w:pPr>
      <w:r>
        <w:rPr>
          <w:rFonts w:hint="eastAsia" w:ascii="宋体" w:hAnsi="宋体"/>
          <w:szCs w:val="21"/>
          <w:highlight w:val="none"/>
        </w:rPr>
        <w:t>(2)  质量保证金的扣留：</w:t>
      </w:r>
    </w:p>
    <w:p w14:paraId="74B32EC0">
      <w:pPr>
        <w:spacing w:line="360" w:lineRule="auto"/>
        <w:rPr>
          <w:rFonts w:ascii="宋体" w:hAnsi="宋体"/>
          <w:szCs w:val="21"/>
          <w:highlight w:val="none"/>
        </w:rPr>
      </w:pPr>
      <w:r>
        <w:rPr>
          <w:rFonts w:hint="eastAsia" w:ascii="宋体" w:hAnsi="宋体"/>
          <w:szCs w:val="21"/>
          <w:highlight w:val="none"/>
        </w:rPr>
        <w:t>■  按合同通用条款的规定，从每次应支付给承包人的工程款（包括进度款和结算款）中扣留，扣留的比例为3%。</w:t>
      </w:r>
    </w:p>
    <w:p w14:paraId="25358684">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其他方式：</w:t>
      </w:r>
      <w:bookmarkStart w:id="988" w:name="_Toc461980574"/>
      <w:bookmarkStart w:id="989" w:name="_Toc271290776"/>
      <w:bookmarkStart w:id="990" w:name="_Toc334014737"/>
      <w:bookmarkStart w:id="991" w:name="_Toc263775920"/>
      <w:bookmarkStart w:id="992" w:name="_Toc273290804"/>
      <w:bookmarkStart w:id="993" w:name="_Toc19050"/>
      <w:bookmarkStart w:id="994" w:name="_Toc520715236"/>
      <w:r>
        <w:rPr>
          <w:rFonts w:hint="eastAsia" w:ascii="宋体" w:hAnsi="宋体"/>
          <w:b/>
          <w:szCs w:val="21"/>
          <w:highlight w:val="none"/>
        </w:rPr>
        <w:t>以银行履约保函的形式提供, 比例为工程价款结算总额5%。</w:t>
      </w:r>
    </w:p>
    <w:p w14:paraId="1ACF24A1">
      <w:pPr>
        <w:spacing w:line="360" w:lineRule="auto"/>
        <w:rPr>
          <w:rFonts w:ascii="宋体" w:hAnsi="宋体"/>
          <w:szCs w:val="21"/>
          <w:highlight w:val="none"/>
        </w:rPr>
      </w:pPr>
      <w:r>
        <w:rPr>
          <w:rFonts w:hint="eastAsia" w:ascii="宋体" w:hAnsi="宋体"/>
          <w:szCs w:val="21"/>
          <w:highlight w:val="none"/>
        </w:rPr>
        <w:t>84.3 质量保证金返还：</w:t>
      </w:r>
      <w:bookmarkEnd w:id="988"/>
      <w:bookmarkEnd w:id="989"/>
      <w:bookmarkEnd w:id="990"/>
      <w:bookmarkEnd w:id="991"/>
      <w:bookmarkEnd w:id="992"/>
      <w:bookmarkEnd w:id="993"/>
      <w:bookmarkEnd w:id="994"/>
      <w:r>
        <w:rPr>
          <w:rFonts w:hint="eastAsia" w:ascii="宋体" w:hAnsi="宋体"/>
          <w:szCs w:val="21"/>
          <w:highlight w:val="none"/>
        </w:rPr>
        <w:t xml:space="preserve"> </w:t>
      </w:r>
      <w:r>
        <w:rPr>
          <w:rFonts w:hint="eastAsia" w:ascii="宋体" w:hAnsi="宋体"/>
          <w:b/>
          <w:szCs w:val="21"/>
          <w:highlight w:val="none"/>
        </w:rPr>
        <w:t>工程质量保修期满后14天内，发包人将剩余的质量保修金（无息）一次退还承包人。</w:t>
      </w:r>
    </w:p>
    <w:p w14:paraId="0DA2C399">
      <w:pPr>
        <w:pStyle w:val="6"/>
        <w:rPr>
          <w:highlight w:val="none"/>
        </w:rPr>
      </w:pPr>
      <w:bookmarkStart w:id="995" w:name="_Toc461980577"/>
      <w:bookmarkStart w:id="996" w:name="_Toc271290779"/>
      <w:bookmarkStart w:id="997" w:name="_Toc520715239"/>
      <w:bookmarkStart w:id="998" w:name="_Toc254775561"/>
      <w:bookmarkStart w:id="999" w:name="_Toc15748"/>
      <w:bookmarkStart w:id="1000" w:name="_Toc273290807"/>
      <w:r>
        <w:rPr>
          <w:rFonts w:hint="eastAsia"/>
          <w:highlight w:val="none"/>
        </w:rPr>
        <w:t>85、</w:t>
      </w:r>
      <w:r>
        <w:rPr>
          <w:rFonts w:hint="eastAsia"/>
          <w:szCs w:val="24"/>
          <w:highlight w:val="none"/>
        </w:rPr>
        <w:t>最终清算付款</w:t>
      </w:r>
      <w:bookmarkEnd w:id="995"/>
      <w:bookmarkEnd w:id="996"/>
      <w:bookmarkEnd w:id="997"/>
      <w:bookmarkEnd w:id="998"/>
      <w:bookmarkEnd w:id="999"/>
      <w:bookmarkEnd w:id="1000"/>
    </w:p>
    <w:p w14:paraId="4BC642B5">
      <w:pPr>
        <w:spacing w:line="360" w:lineRule="auto"/>
        <w:rPr>
          <w:rFonts w:ascii="宋体" w:hAnsi="宋体"/>
          <w:highlight w:val="none"/>
        </w:rPr>
      </w:pPr>
      <w:r>
        <w:rPr>
          <w:rFonts w:hint="eastAsia" w:ascii="宋体" w:hAnsi="宋体"/>
          <w:highlight w:val="none"/>
        </w:rPr>
        <w:t>85.1  最终结清申请报告</w:t>
      </w:r>
    </w:p>
    <w:p w14:paraId="7AB4E2BA">
      <w:pPr>
        <w:spacing w:line="360" w:lineRule="auto"/>
        <w:rPr>
          <w:rFonts w:ascii="宋体" w:hAnsi="宋体"/>
          <w:highlight w:val="none"/>
        </w:rPr>
      </w:pPr>
      <w:r>
        <w:rPr>
          <w:rFonts w:hint="eastAsia" w:ascii="宋体" w:hAnsi="宋体"/>
          <w:highlight w:val="none"/>
        </w:rPr>
        <w:t>提交份数：</w:t>
      </w:r>
      <w:r>
        <w:rPr>
          <w:rFonts w:hint="eastAsia" w:ascii="宋体" w:hAnsi="宋体"/>
          <w:highlight w:val="none"/>
          <w:u w:val="single"/>
        </w:rPr>
        <w:t xml:space="preserve">   4   </w:t>
      </w:r>
      <w:r>
        <w:rPr>
          <w:rFonts w:hint="eastAsia" w:ascii="宋体" w:hAnsi="宋体"/>
          <w:highlight w:val="none"/>
        </w:rPr>
        <w:t>份。</w:t>
      </w:r>
    </w:p>
    <w:p w14:paraId="334C737A">
      <w:pPr>
        <w:spacing w:line="360" w:lineRule="auto"/>
        <w:rPr>
          <w:rFonts w:ascii="宋体" w:hAnsi="宋体"/>
          <w:szCs w:val="21"/>
          <w:highlight w:val="none"/>
        </w:rPr>
      </w:pPr>
      <w:r>
        <w:rPr>
          <w:rFonts w:hint="eastAsia" w:ascii="宋体" w:hAnsi="宋体"/>
          <w:highlight w:val="none"/>
        </w:rPr>
        <w:t>提交期限：</w:t>
      </w:r>
      <w:r>
        <w:rPr>
          <w:rFonts w:hint="eastAsia" w:ascii="宋体" w:hAnsi="宋体"/>
          <w:b/>
          <w:highlight w:val="none"/>
        </w:rPr>
        <w:t>缺陷责任期终止证书签发后15天内。</w:t>
      </w:r>
    </w:p>
    <w:p w14:paraId="271B585B">
      <w:pPr>
        <w:pStyle w:val="6"/>
        <w:rPr>
          <w:highlight w:val="none"/>
        </w:rPr>
      </w:pPr>
      <w:bookmarkStart w:id="1001" w:name="_Toc6295"/>
      <w:bookmarkStart w:id="1002" w:name="_Toc520715240"/>
      <w:bookmarkStart w:id="1003" w:name="_Toc273290808"/>
      <w:bookmarkStart w:id="1004" w:name="_Toc461980578"/>
      <w:bookmarkStart w:id="1005" w:name="_Toc254775562"/>
      <w:bookmarkStart w:id="1006" w:name="_Toc271290780"/>
      <w:r>
        <w:rPr>
          <w:rFonts w:hint="eastAsia"/>
          <w:highlight w:val="none"/>
        </w:rPr>
        <w:t>86、</w:t>
      </w:r>
      <w:r>
        <w:rPr>
          <w:rFonts w:hint="eastAsia"/>
          <w:szCs w:val="24"/>
          <w:highlight w:val="none"/>
        </w:rPr>
        <w:t>合同争议</w:t>
      </w:r>
      <w:bookmarkEnd w:id="1001"/>
      <w:bookmarkEnd w:id="1002"/>
      <w:bookmarkEnd w:id="1003"/>
      <w:bookmarkEnd w:id="1004"/>
      <w:bookmarkEnd w:id="1005"/>
      <w:bookmarkEnd w:id="1006"/>
    </w:p>
    <w:p w14:paraId="302AAC94">
      <w:pPr>
        <w:spacing w:line="360" w:lineRule="auto"/>
        <w:rPr>
          <w:rFonts w:ascii="宋体" w:hAnsi="宋体"/>
          <w:szCs w:val="21"/>
          <w:highlight w:val="none"/>
        </w:rPr>
      </w:pPr>
      <w:bookmarkStart w:id="1007" w:name="_Toc461980579"/>
      <w:bookmarkStart w:id="1008" w:name="_Toc520715241"/>
      <w:bookmarkStart w:id="1009" w:name="_Toc273290809"/>
      <w:bookmarkStart w:id="1010" w:name="_Toc334014742"/>
      <w:bookmarkStart w:id="1011" w:name="_Toc11627"/>
      <w:bookmarkStart w:id="1012" w:name="_Toc44235770"/>
      <w:r>
        <w:rPr>
          <w:rFonts w:hint="eastAsia" w:ascii="宋体" w:hAnsi="宋体"/>
          <w:szCs w:val="21"/>
          <w:highlight w:val="none"/>
        </w:rPr>
        <w:t>86.4  争议调解或认定机构</w:t>
      </w:r>
      <w:bookmarkEnd w:id="1007"/>
      <w:bookmarkEnd w:id="1008"/>
      <w:bookmarkEnd w:id="1009"/>
      <w:bookmarkEnd w:id="1010"/>
      <w:bookmarkEnd w:id="1011"/>
      <w:bookmarkEnd w:id="1012"/>
    </w:p>
    <w:p w14:paraId="002E8550">
      <w:pPr>
        <w:spacing w:line="360" w:lineRule="auto"/>
        <w:rPr>
          <w:rFonts w:ascii="宋体" w:hAnsi="宋体"/>
          <w:szCs w:val="21"/>
          <w:highlight w:val="none"/>
        </w:rPr>
      </w:pPr>
      <w:r>
        <w:rPr>
          <w:rFonts w:hint="eastAsia" w:ascii="宋体" w:hAnsi="宋体"/>
          <w:szCs w:val="21"/>
          <w:highlight w:val="none"/>
        </w:rPr>
        <w:t>■  按合同通用条款的规定；</w:t>
      </w:r>
    </w:p>
    <w:p w14:paraId="4FAE6EEA">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不按合同通用条款的规定，合同双方认可为：</w:t>
      </w:r>
    </w:p>
    <w:p w14:paraId="220FE821">
      <w:pPr>
        <w:spacing w:line="360" w:lineRule="auto"/>
        <w:rPr>
          <w:rFonts w:ascii="宋体" w:hAnsi="宋体"/>
          <w:szCs w:val="21"/>
          <w:highlight w:val="none"/>
        </w:rPr>
      </w:pPr>
      <w:r>
        <w:rPr>
          <w:rFonts w:hint="eastAsia" w:ascii="宋体" w:hAnsi="宋体"/>
          <w:szCs w:val="21"/>
          <w:highlight w:val="none"/>
        </w:rPr>
        <w:t>（1）……</w:t>
      </w:r>
    </w:p>
    <w:p w14:paraId="25CAB141">
      <w:pPr>
        <w:spacing w:line="360" w:lineRule="auto"/>
        <w:rPr>
          <w:rFonts w:ascii="宋体" w:hAnsi="宋体"/>
          <w:szCs w:val="21"/>
          <w:highlight w:val="none"/>
        </w:rPr>
      </w:pPr>
      <w:r>
        <w:rPr>
          <w:rFonts w:hint="eastAsia" w:ascii="宋体" w:hAnsi="宋体"/>
          <w:szCs w:val="21"/>
          <w:highlight w:val="none"/>
        </w:rPr>
        <w:t>（2）……</w:t>
      </w:r>
    </w:p>
    <w:p w14:paraId="6DED0FD5">
      <w:pPr>
        <w:spacing w:line="360" w:lineRule="auto"/>
        <w:rPr>
          <w:rFonts w:ascii="宋体" w:hAnsi="宋体"/>
          <w:szCs w:val="21"/>
          <w:highlight w:val="none"/>
        </w:rPr>
      </w:pPr>
      <w:r>
        <w:rPr>
          <w:rFonts w:hint="eastAsia" w:ascii="宋体" w:hAnsi="宋体"/>
          <w:szCs w:val="21"/>
          <w:highlight w:val="none"/>
        </w:rPr>
        <w:t>（3）……</w:t>
      </w:r>
    </w:p>
    <w:p w14:paraId="68F0A458">
      <w:pPr>
        <w:spacing w:line="360" w:lineRule="auto"/>
        <w:rPr>
          <w:rFonts w:ascii="宋体" w:hAnsi="宋体"/>
          <w:szCs w:val="21"/>
          <w:highlight w:val="none"/>
        </w:rPr>
      </w:pPr>
      <w:bookmarkStart w:id="1013" w:name="_Toc520715242"/>
      <w:bookmarkStart w:id="1014" w:name="_Toc273290810"/>
      <w:bookmarkStart w:id="1015" w:name="_Toc263775925"/>
      <w:bookmarkStart w:id="1016" w:name="_Toc44235771"/>
      <w:bookmarkStart w:id="1017" w:name="_Toc271290781"/>
      <w:bookmarkStart w:id="1018" w:name="_Toc30900"/>
      <w:bookmarkStart w:id="1019" w:name="_Toc334014743"/>
      <w:bookmarkStart w:id="1020" w:name="_Toc461980580"/>
      <w:r>
        <w:rPr>
          <w:rFonts w:hint="eastAsia" w:ascii="宋体" w:hAnsi="宋体"/>
          <w:szCs w:val="21"/>
          <w:highlight w:val="none"/>
        </w:rPr>
        <w:t>86.6  双方同意选择下列一种方式解决争议：</w:t>
      </w:r>
      <w:bookmarkEnd w:id="1013"/>
      <w:bookmarkEnd w:id="1014"/>
      <w:bookmarkEnd w:id="1015"/>
      <w:bookmarkEnd w:id="1016"/>
      <w:bookmarkEnd w:id="1017"/>
      <w:bookmarkEnd w:id="1018"/>
      <w:bookmarkEnd w:id="1019"/>
      <w:bookmarkEnd w:id="1020"/>
    </w:p>
    <w:p w14:paraId="78105BEE">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向</w:t>
      </w:r>
      <w:r>
        <w:rPr>
          <w:rFonts w:hint="eastAsia" w:ascii="宋体" w:hAnsi="宋体"/>
          <w:szCs w:val="21"/>
          <w:highlight w:val="none"/>
          <w:u w:val="single"/>
        </w:rPr>
        <w:t xml:space="preserve">                                （</w:t>
      </w:r>
      <w:r>
        <w:rPr>
          <w:rFonts w:hint="eastAsia" w:ascii="宋体" w:hAnsi="宋体"/>
          <w:szCs w:val="21"/>
          <w:highlight w:val="none"/>
        </w:rPr>
        <w:t>仲裁机构）申请仲裁。</w:t>
      </w:r>
    </w:p>
    <w:p w14:paraId="72632080">
      <w:pPr>
        <w:spacing w:line="360" w:lineRule="auto"/>
        <w:rPr>
          <w:rFonts w:ascii="宋体" w:hAnsi="宋体"/>
          <w:szCs w:val="21"/>
          <w:highlight w:val="none"/>
        </w:rPr>
      </w:pPr>
      <w:r>
        <w:rPr>
          <w:rFonts w:hint="eastAsia" w:ascii="宋体" w:hAnsi="宋体"/>
          <w:szCs w:val="21"/>
          <w:highlight w:val="none"/>
        </w:rPr>
        <w:t>■  向甲方所在地的人民法院提起诉讼。</w:t>
      </w:r>
    </w:p>
    <w:p w14:paraId="6C1CC69B">
      <w:pPr>
        <w:pStyle w:val="6"/>
        <w:rPr>
          <w:highlight w:val="none"/>
        </w:rPr>
      </w:pPr>
      <w:bookmarkStart w:id="1021" w:name="_Toc520715243"/>
      <w:bookmarkStart w:id="1022" w:name="_Toc461980581"/>
      <w:bookmarkStart w:id="1023" w:name="_Toc271290782"/>
      <w:bookmarkStart w:id="1024" w:name="_Toc17850"/>
      <w:bookmarkStart w:id="1025" w:name="_Toc273290811"/>
      <w:r>
        <w:rPr>
          <w:rFonts w:hint="eastAsia"/>
          <w:highlight w:val="none"/>
        </w:rPr>
        <w:t>88、</w:t>
      </w:r>
      <w:r>
        <w:rPr>
          <w:rFonts w:hint="eastAsia"/>
          <w:szCs w:val="24"/>
          <w:highlight w:val="none"/>
        </w:rPr>
        <w:t>合同解除的支付</w:t>
      </w:r>
      <w:bookmarkEnd w:id="1021"/>
      <w:bookmarkEnd w:id="1022"/>
      <w:bookmarkEnd w:id="1023"/>
      <w:bookmarkEnd w:id="1024"/>
      <w:bookmarkEnd w:id="1025"/>
    </w:p>
    <w:p w14:paraId="5FABFA7A">
      <w:pPr>
        <w:spacing w:line="360" w:lineRule="auto"/>
        <w:rPr>
          <w:rFonts w:ascii="宋体" w:hAnsi="宋体"/>
          <w:szCs w:val="21"/>
          <w:highlight w:val="none"/>
        </w:rPr>
      </w:pPr>
      <w:bookmarkStart w:id="1026" w:name="_Toc520715244"/>
      <w:bookmarkStart w:id="1027" w:name="_Toc461980582"/>
      <w:bookmarkStart w:id="1028" w:name="_Toc263775927"/>
      <w:bookmarkStart w:id="1029" w:name="_Toc271290783"/>
      <w:bookmarkStart w:id="1030" w:name="_Toc11639"/>
      <w:bookmarkStart w:id="1031" w:name="_Toc44235772"/>
      <w:bookmarkStart w:id="1032" w:name="_Toc334014745"/>
      <w:bookmarkStart w:id="1033" w:name="_Toc273290812"/>
      <w:r>
        <w:rPr>
          <w:rFonts w:hint="eastAsia" w:ascii="宋体" w:hAnsi="宋体"/>
          <w:szCs w:val="21"/>
          <w:highlight w:val="none"/>
        </w:rPr>
        <w:t>88.3因承包人原因解除的支付</w:t>
      </w:r>
      <w:bookmarkEnd w:id="1026"/>
      <w:bookmarkEnd w:id="1027"/>
      <w:bookmarkEnd w:id="1028"/>
      <w:bookmarkEnd w:id="1029"/>
      <w:bookmarkEnd w:id="1030"/>
      <w:bookmarkEnd w:id="1031"/>
      <w:bookmarkEnd w:id="1032"/>
      <w:bookmarkEnd w:id="1033"/>
    </w:p>
    <w:p w14:paraId="7F3B9A09">
      <w:pPr>
        <w:spacing w:line="360" w:lineRule="auto"/>
        <w:rPr>
          <w:rFonts w:ascii="宋体" w:hAnsi="宋体"/>
          <w:szCs w:val="21"/>
          <w:highlight w:val="none"/>
        </w:rPr>
      </w:pPr>
      <w:r>
        <w:rPr>
          <w:rFonts w:hint="eastAsia" w:ascii="宋体" w:hAnsi="宋体"/>
          <w:szCs w:val="21"/>
          <w:highlight w:val="none"/>
        </w:rPr>
        <w:t>本款更改为：</w:t>
      </w:r>
    </w:p>
    <w:p w14:paraId="1E969C1A">
      <w:pPr>
        <w:spacing w:line="360" w:lineRule="auto"/>
        <w:rPr>
          <w:rFonts w:ascii="宋体" w:hAnsi="宋体"/>
          <w:szCs w:val="21"/>
          <w:highlight w:val="none"/>
        </w:rPr>
      </w:pPr>
      <w:bookmarkStart w:id="1034" w:name="_Toc461980583"/>
      <w:bookmarkStart w:id="1035" w:name="_Toc334014746"/>
      <w:bookmarkStart w:id="1036" w:name="_Toc271290784"/>
      <w:bookmarkStart w:id="1037" w:name="_Toc44235773"/>
      <w:bookmarkStart w:id="1038" w:name="_Toc520715245"/>
      <w:bookmarkStart w:id="1039" w:name="_Toc263775928"/>
      <w:bookmarkStart w:id="1040" w:name="_Toc273290813"/>
      <w:bookmarkStart w:id="1041" w:name="_Toc14209"/>
      <w:r>
        <w:rPr>
          <w:rFonts w:hint="eastAsia" w:ascii="宋体" w:hAnsi="宋体"/>
          <w:b/>
          <w:szCs w:val="21"/>
          <w:highlight w:val="none"/>
        </w:rPr>
        <w:t>根据第87.3款规定解除合同的，发包人暂停向承包人支付任何款额，造价工程师应在合同解除后的28天内核实合同解除时承包人已完成的全部工程价款以及已运至现场的材料设备的价款，并扣除误期赔偿费（如有）和发包人已支付给承包人的各项款额，同时将结果通知承包人并抄报发包人。发包人承包人应在收到核实结果后的28天内予以确认或提出意见，并按第82.4款或专用条款中关于结算的条款的有关规定办理。如果应扣除的款额超过了应向承包人支付的款额，则承包人应在合同解除后的56天内将其差额退还给发包人。</w:t>
      </w:r>
      <w:bookmarkEnd w:id="1034"/>
      <w:bookmarkEnd w:id="1035"/>
      <w:bookmarkEnd w:id="1036"/>
      <w:bookmarkEnd w:id="1037"/>
      <w:bookmarkEnd w:id="1038"/>
      <w:bookmarkEnd w:id="1039"/>
      <w:bookmarkEnd w:id="1040"/>
      <w:bookmarkEnd w:id="1041"/>
    </w:p>
    <w:p w14:paraId="50446040">
      <w:pPr>
        <w:pStyle w:val="6"/>
        <w:rPr>
          <w:highlight w:val="none"/>
        </w:rPr>
      </w:pPr>
      <w:bookmarkStart w:id="1042" w:name="_Toc520715246"/>
      <w:bookmarkStart w:id="1043" w:name="_Toc271290785"/>
      <w:bookmarkStart w:id="1044" w:name="_Toc461980584"/>
      <w:bookmarkStart w:id="1045" w:name="_Toc273290814"/>
      <w:bookmarkStart w:id="1046" w:name="_Toc254775564"/>
      <w:bookmarkStart w:id="1047" w:name="_Toc3216"/>
      <w:r>
        <w:rPr>
          <w:rFonts w:hint="eastAsia"/>
          <w:highlight w:val="none"/>
        </w:rPr>
        <w:t>91、</w:t>
      </w:r>
      <w:r>
        <w:rPr>
          <w:rFonts w:hint="eastAsia"/>
          <w:szCs w:val="24"/>
          <w:highlight w:val="none"/>
        </w:rPr>
        <w:t>保密要求</w:t>
      </w:r>
      <w:bookmarkEnd w:id="1042"/>
      <w:bookmarkEnd w:id="1043"/>
      <w:bookmarkEnd w:id="1044"/>
      <w:bookmarkEnd w:id="1045"/>
      <w:bookmarkEnd w:id="1046"/>
      <w:bookmarkEnd w:id="1047"/>
    </w:p>
    <w:p w14:paraId="71C8FAC8">
      <w:pPr>
        <w:spacing w:line="360" w:lineRule="auto"/>
        <w:rPr>
          <w:rFonts w:ascii="宋体" w:hAnsi="宋体"/>
          <w:szCs w:val="21"/>
          <w:highlight w:val="none"/>
        </w:rPr>
      </w:pPr>
      <w:r>
        <w:rPr>
          <w:rFonts w:hint="eastAsia" w:ascii="宋体" w:hAnsi="宋体"/>
          <w:szCs w:val="21"/>
          <w:highlight w:val="none"/>
        </w:rPr>
        <w:t>91.1  提供保密信息的期限：有需要提供保密信息时提供。</w:t>
      </w:r>
    </w:p>
    <w:p w14:paraId="00631F3E">
      <w:pPr>
        <w:pStyle w:val="6"/>
        <w:rPr>
          <w:highlight w:val="none"/>
        </w:rPr>
      </w:pPr>
      <w:bookmarkStart w:id="1048" w:name="_Toc461980585"/>
      <w:bookmarkStart w:id="1049" w:name="_Toc273290815"/>
      <w:bookmarkStart w:id="1050" w:name="_Toc520715247"/>
      <w:bookmarkStart w:id="1051" w:name="_Toc20235"/>
      <w:bookmarkStart w:id="1052" w:name="_Toc271290786"/>
      <w:bookmarkStart w:id="1053" w:name="_Toc254775565"/>
      <w:r>
        <w:rPr>
          <w:rFonts w:hint="eastAsia"/>
          <w:highlight w:val="none"/>
        </w:rPr>
        <w:t>94、</w:t>
      </w:r>
      <w:r>
        <w:rPr>
          <w:rFonts w:hint="eastAsia"/>
          <w:szCs w:val="24"/>
          <w:highlight w:val="none"/>
        </w:rPr>
        <w:t>合同份数</w:t>
      </w:r>
      <w:bookmarkEnd w:id="1048"/>
      <w:bookmarkEnd w:id="1049"/>
      <w:bookmarkEnd w:id="1050"/>
      <w:bookmarkEnd w:id="1051"/>
      <w:bookmarkEnd w:id="1052"/>
      <w:bookmarkEnd w:id="1053"/>
    </w:p>
    <w:p w14:paraId="606A6B7B">
      <w:pPr>
        <w:spacing w:line="360" w:lineRule="auto"/>
        <w:rPr>
          <w:rFonts w:ascii="宋体" w:hAnsi="宋体"/>
          <w:szCs w:val="21"/>
          <w:highlight w:val="none"/>
        </w:rPr>
      </w:pPr>
      <w:r>
        <w:rPr>
          <w:rFonts w:hint="eastAsia" w:ascii="宋体" w:hAnsi="宋体"/>
          <w:szCs w:val="21"/>
          <w:highlight w:val="none"/>
        </w:rPr>
        <w:t>94.1  提供合同文本</w:t>
      </w:r>
    </w:p>
    <w:p w14:paraId="10E3D003">
      <w:pPr>
        <w:spacing w:line="360" w:lineRule="auto"/>
        <w:rPr>
          <w:rFonts w:ascii="宋体" w:hAnsi="宋体"/>
          <w:szCs w:val="21"/>
          <w:highlight w:val="none"/>
        </w:rPr>
      </w:pPr>
      <w:r>
        <w:rPr>
          <w:rFonts w:hint="eastAsia" w:ascii="宋体" w:hAnsi="宋体"/>
          <w:szCs w:val="21"/>
          <w:highlight w:val="none"/>
        </w:rPr>
        <w:t>■  按合同通用条款的规定，由发包人提供</w:t>
      </w:r>
    </w:p>
    <w:p w14:paraId="6C01FD21">
      <w:pPr>
        <w:spacing w:line="360" w:lineRule="auto"/>
        <w:rPr>
          <w:rFonts w:ascii="宋体" w:hAnsi="宋体"/>
          <w:szCs w:val="21"/>
          <w:highlight w:val="none"/>
        </w:rPr>
      </w:pPr>
      <w:r>
        <w:rPr>
          <w:rFonts w:ascii="宋体" w:hAnsi="宋体"/>
          <w:szCs w:val="21"/>
          <w:highlight w:val="none"/>
        </w:rPr>
        <w:t>□</w:t>
      </w:r>
      <w:r>
        <w:rPr>
          <w:rFonts w:hint="eastAsia" w:ascii="宋体" w:hAnsi="宋体"/>
          <w:szCs w:val="21"/>
          <w:highlight w:val="none"/>
        </w:rPr>
        <w:t xml:space="preserve">  不按合同通用条款的规定，提供方式为：</w:t>
      </w:r>
    </w:p>
    <w:p w14:paraId="0C0FA486">
      <w:pPr>
        <w:spacing w:line="360" w:lineRule="auto"/>
        <w:rPr>
          <w:rFonts w:ascii="宋体" w:hAnsi="宋体"/>
          <w:szCs w:val="21"/>
          <w:highlight w:val="none"/>
        </w:rPr>
      </w:pPr>
      <w:r>
        <w:rPr>
          <w:rFonts w:hint="eastAsia" w:ascii="宋体" w:hAnsi="宋体"/>
          <w:szCs w:val="21"/>
          <w:highlight w:val="none"/>
        </w:rPr>
        <w:t>94.2  正本一式</w:t>
      </w:r>
      <w:r>
        <w:rPr>
          <w:rFonts w:hint="eastAsia" w:ascii="宋体" w:hAnsi="宋体"/>
          <w:szCs w:val="21"/>
          <w:highlight w:val="none"/>
          <w:u w:val="single"/>
        </w:rPr>
        <w:t xml:space="preserve"> 二 </w:t>
      </w:r>
      <w:r>
        <w:rPr>
          <w:rFonts w:hint="eastAsia" w:ascii="宋体" w:hAnsi="宋体"/>
          <w:szCs w:val="21"/>
          <w:highlight w:val="none"/>
        </w:rPr>
        <w:t>份，发包人及承包人各持</w:t>
      </w:r>
      <w:r>
        <w:rPr>
          <w:rFonts w:hint="eastAsia" w:ascii="宋体" w:hAnsi="宋体"/>
          <w:szCs w:val="21"/>
          <w:highlight w:val="none"/>
          <w:u w:val="single"/>
        </w:rPr>
        <w:t xml:space="preserve"> 一 </w:t>
      </w:r>
      <w:r>
        <w:rPr>
          <w:rFonts w:hint="eastAsia" w:ascii="宋体" w:hAnsi="宋体"/>
          <w:szCs w:val="21"/>
          <w:highlight w:val="none"/>
        </w:rPr>
        <w:t>份、副本一式</w:t>
      </w:r>
      <w:r>
        <w:rPr>
          <w:rFonts w:hint="eastAsia" w:ascii="宋体" w:hAnsi="宋体"/>
          <w:szCs w:val="21"/>
          <w:highlight w:val="none"/>
          <w:u w:val="single"/>
        </w:rPr>
        <w:t xml:space="preserve"> 五 </w:t>
      </w:r>
      <w:r>
        <w:rPr>
          <w:rFonts w:hint="eastAsia" w:ascii="宋体" w:hAnsi="宋体"/>
          <w:szCs w:val="21"/>
          <w:highlight w:val="none"/>
        </w:rPr>
        <w:t>份，发包人持</w:t>
      </w:r>
      <w:r>
        <w:rPr>
          <w:rFonts w:hint="eastAsia" w:ascii="宋体" w:hAnsi="宋体"/>
          <w:szCs w:val="21"/>
          <w:highlight w:val="none"/>
          <w:u w:val="single"/>
        </w:rPr>
        <w:t xml:space="preserve"> 三 </w:t>
      </w:r>
      <w:r>
        <w:rPr>
          <w:rFonts w:hint="eastAsia" w:ascii="宋体" w:hAnsi="宋体"/>
          <w:szCs w:val="21"/>
          <w:highlight w:val="none"/>
        </w:rPr>
        <w:t>份，承包人、</w:t>
      </w:r>
      <w:r>
        <w:rPr>
          <w:rFonts w:hint="eastAsia" w:ascii="宋体" w:hAnsi="宋体"/>
          <w:szCs w:val="21"/>
          <w:highlight w:val="none"/>
          <w:u w:val="single"/>
        </w:rPr>
        <w:t>招标代理</w:t>
      </w:r>
      <w:r>
        <w:rPr>
          <w:rFonts w:hint="eastAsia" w:ascii="宋体" w:hAnsi="宋体"/>
          <w:szCs w:val="21"/>
          <w:highlight w:val="none"/>
        </w:rPr>
        <w:t>各持一份。</w:t>
      </w:r>
    </w:p>
    <w:p w14:paraId="5BA665B1">
      <w:pPr>
        <w:tabs>
          <w:tab w:val="left" w:pos="720"/>
        </w:tabs>
        <w:spacing w:line="360" w:lineRule="auto"/>
        <w:rPr>
          <w:rFonts w:ascii="新宋体" w:hAnsi="新宋体" w:eastAsia="新宋体" w:cs="新宋体"/>
          <w:b/>
          <w:szCs w:val="21"/>
          <w:highlight w:val="none"/>
        </w:rPr>
      </w:pPr>
    </w:p>
    <w:p w14:paraId="16C632B1">
      <w:pPr>
        <w:rPr>
          <w:highlight w:val="none"/>
        </w:rPr>
      </w:pPr>
    </w:p>
    <w:p w14:paraId="4B04E795">
      <w:pPr>
        <w:pStyle w:val="36"/>
        <w:rPr>
          <w:highlight w:val="none"/>
        </w:rPr>
      </w:pPr>
    </w:p>
    <w:p w14:paraId="4F77F131">
      <w:pPr>
        <w:pStyle w:val="36"/>
        <w:rPr>
          <w:highlight w:val="none"/>
        </w:rPr>
      </w:pPr>
    </w:p>
    <w:p w14:paraId="14ABAF15">
      <w:pPr>
        <w:pStyle w:val="36"/>
        <w:rPr>
          <w:highlight w:val="none"/>
        </w:rPr>
      </w:pPr>
    </w:p>
    <w:p w14:paraId="74EECAFC">
      <w:pPr>
        <w:pStyle w:val="36"/>
        <w:rPr>
          <w:highlight w:val="none"/>
        </w:rPr>
      </w:pPr>
    </w:p>
    <w:p w14:paraId="1EB8EC17">
      <w:pPr>
        <w:pStyle w:val="36"/>
        <w:rPr>
          <w:highlight w:val="none"/>
        </w:rPr>
      </w:pPr>
    </w:p>
    <w:p w14:paraId="248F01BB">
      <w:pPr>
        <w:pStyle w:val="36"/>
        <w:rPr>
          <w:highlight w:val="none"/>
        </w:rPr>
      </w:pPr>
    </w:p>
    <w:p w14:paraId="5B4313B3">
      <w:pPr>
        <w:pStyle w:val="36"/>
        <w:rPr>
          <w:highlight w:val="none"/>
        </w:rPr>
      </w:pPr>
    </w:p>
    <w:p w14:paraId="3634740F">
      <w:pPr>
        <w:pStyle w:val="36"/>
        <w:rPr>
          <w:highlight w:val="none"/>
        </w:rPr>
      </w:pPr>
    </w:p>
    <w:p w14:paraId="171C65B2">
      <w:pPr>
        <w:pStyle w:val="36"/>
        <w:rPr>
          <w:highlight w:val="none"/>
        </w:rPr>
      </w:pPr>
    </w:p>
    <w:p w14:paraId="7B963E2F">
      <w:pPr>
        <w:pStyle w:val="36"/>
        <w:rPr>
          <w:highlight w:val="none"/>
        </w:rPr>
      </w:pPr>
    </w:p>
    <w:p w14:paraId="047AC132">
      <w:pPr>
        <w:pStyle w:val="36"/>
        <w:rPr>
          <w:highlight w:val="none"/>
        </w:rPr>
      </w:pPr>
    </w:p>
    <w:p w14:paraId="7C57244E">
      <w:pPr>
        <w:pStyle w:val="36"/>
        <w:rPr>
          <w:highlight w:val="none"/>
        </w:rPr>
      </w:pPr>
    </w:p>
    <w:p w14:paraId="52990899">
      <w:pPr>
        <w:pStyle w:val="36"/>
        <w:rPr>
          <w:highlight w:val="none"/>
        </w:rPr>
      </w:pPr>
    </w:p>
    <w:p w14:paraId="0F2DF94C">
      <w:pPr>
        <w:pStyle w:val="36"/>
        <w:rPr>
          <w:highlight w:val="none"/>
        </w:rPr>
      </w:pPr>
    </w:p>
    <w:p w14:paraId="660B8D77">
      <w:pPr>
        <w:pStyle w:val="36"/>
        <w:rPr>
          <w:highlight w:val="none"/>
        </w:rPr>
      </w:pPr>
    </w:p>
    <w:p w14:paraId="07CDDAFD">
      <w:pPr>
        <w:pStyle w:val="36"/>
        <w:rPr>
          <w:highlight w:val="none"/>
        </w:rPr>
      </w:pPr>
    </w:p>
    <w:p w14:paraId="42634A02">
      <w:pPr>
        <w:pStyle w:val="36"/>
        <w:rPr>
          <w:highlight w:val="none"/>
        </w:rPr>
      </w:pPr>
    </w:p>
    <w:p w14:paraId="1AD7A0C3">
      <w:pPr>
        <w:pStyle w:val="36"/>
        <w:rPr>
          <w:highlight w:val="none"/>
        </w:rPr>
      </w:pPr>
    </w:p>
    <w:p w14:paraId="4B3FA2D3">
      <w:pPr>
        <w:pStyle w:val="36"/>
        <w:rPr>
          <w:highlight w:val="none"/>
        </w:rPr>
      </w:pPr>
    </w:p>
    <w:p w14:paraId="14E289E6">
      <w:pPr>
        <w:pStyle w:val="36"/>
        <w:rPr>
          <w:highlight w:val="none"/>
        </w:rPr>
      </w:pPr>
    </w:p>
    <w:p w14:paraId="13E9DF01">
      <w:pPr>
        <w:pStyle w:val="3"/>
        <w:jc w:val="center"/>
        <w:rPr>
          <w:rFonts w:ascii="宋体" w:hAnsi="宋体"/>
          <w:highlight w:val="none"/>
        </w:rPr>
      </w:pPr>
      <w:bookmarkStart w:id="1054" w:name="_Toc512609925"/>
      <w:bookmarkStart w:id="1055" w:name="_Toc44236288"/>
      <w:bookmarkStart w:id="1056" w:name="_Toc26081"/>
      <w:bookmarkStart w:id="1057" w:name="_Toc68598567"/>
      <w:bookmarkStart w:id="1058" w:name="_Toc44235801"/>
      <w:bookmarkStart w:id="1059" w:name="_Toc16188"/>
      <w:bookmarkStart w:id="1060" w:name="_Toc12448"/>
      <w:bookmarkStart w:id="1061" w:name="_Toc44236113"/>
      <w:r>
        <w:rPr>
          <w:rFonts w:hint="eastAsia"/>
          <w:highlight w:val="none"/>
        </w:rPr>
        <w:t>第五章  技术标准和要求</w:t>
      </w:r>
      <w:bookmarkEnd w:id="1054"/>
      <w:bookmarkEnd w:id="1055"/>
      <w:bookmarkEnd w:id="1056"/>
      <w:bookmarkEnd w:id="1057"/>
      <w:bookmarkEnd w:id="1058"/>
      <w:bookmarkEnd w:id="1059"/>
      <w:bookmarkEnd w:id="1060"/>
      <w:bookmarkEnd w:id="1061"/>
    </w:p>
    <w:p w14:paraId="644B85D6">
      <w:pPr>
        <w:spacing w:line="360" w:lineRule="auto"/>
        <w:ind w:firstLine="420" w:firstLineChars="200"/>
        <w:jc w:val="left"/>
        <w:rPr>
          <w:rFonts w:ascii="宋体" w:hAnsi="宋体"/>
          <w:szCs w:val="21"/>
          <w:highlight w:val="none"/>
        </w:rPr>
      </w:pPr>
      <w:r>
        <w:rPr>
          <w:rFonts w:hint="eastAsia" w:ascii="宋体" w:hAnsi="宋体"/>
          <w:szCs w:val="21"/>
          <w:highlight w:val="none"/>
        </w:rPr>
        <w:t>一、本招标项目的材料、设备、施工、验收须达到现行中华人民共和国以及省、自治区、直辖市或行业的工程建设标准、规范的要求。</w:t>
      </w:r>
    </w:p>
    <w:p w14:paraId="5B762402">
      <w:pPr>
        <w:spacing w:line="360" w:lineRule="auto"/>
        <w:ind w:firstLine="420" w:firstLineChars="200"/>
        <w:jc w:val="left"/>
        <w:rPr>
          <w:rFonts w:ascii="宋体" w:hAnsi="宋体"/>
          <w:szCs w:val="21"/>
          <w:highlight w:val="none"/>
        </w:rPr>
      </w:pPr>
      <w:r>
        <w:rPr>
          <w:rFonts w:hint="eastAsia" w:ascii="宋体" w:hAnsi="宋体"/>
          <w:szCs w:val="21"/>
          <w:highlight w:val="none"/>
        </w:rPr>
        <w:t>二、施工要求：</w:t>
      </w:r>
    </w:p>
    <w:p w14:paraId="408332DE">
      <w:pPr>
        <w:spacing w:line="360" w:lineRule="auto"/>
        <w:ind w:firstLine="420" w:firstLineChars="200"/>
        <w:jc w:val="left"/>
        <w:rPr>
          <w:rFonts w:ascii="宋体" w:hAnsi="宋体"/>
          <w:szCs w:val="21"/>
          <w:highlight w:val="none"/>
        </w:rPr>
      </w:pPr>
      <w:r>
        <w:rPr>
          <w:rFonts w:hint="eastAsia" w:ascii="宋体" w:hAnsi="宋体"/>
          <w:szCs w:val="21"/>
          <w:highlight w:val="none"/>
        </w:rPr>
        <w:t>1、要求全部采用钢管脚手架、木（竹）夹板模板或组合钢模板施工，所采用的材料、设备必须满足国家有关技术操作规程的要求。</w:t>
      </w:r>
    </w:p>
    <w:p w14:paraId="01D1B464">
      <w:pPr>
        <w:spacing w:line="360" w:lineRule="auto"/>
        <w:ind w:firstLine="420" w:firstLineChars="200"/>
        <w:jc w:val="left"/>
        <w:rPr>
          <w:rFonts w:ascii="宋体" w:hAnsi="宋体"/>
          <w:szCs w:val="21"/>
          <w:highlight w:val="none"/>
        </w:rPr>
      </w:pPr>
      <w:r>
        <w:rPr>
          <w:rFonts w:hint="eastAsia" w:ascii="宋体" w:hAnsi="宋体"/>
          <w:szCs w:val="21"/>
          <w:highlight w:val="none"/>
        </w:rPr>
        <w:t>2、施工组织方案需列明保证施工进度计划实施及保证质量、安全生产、文明施工、环境保护的措施；投标人应结合自身的实际情况制定合理的施工进度计划，中标后按施工合同的约定提交给监理单位和发包人确认。中标人必须按监理单位和发包人确认的施工进度计划组织施工，接受监理工程师对进度的检查、监督。</w:t>
      </w:r>
    </w:p>
    <w:p w14:paraId="69E28F30">
      <w:pPr>
        <w:spacing w:line="360" w:lineRule="auto"/>
        <w:ind w:firstLine="420" w:firstLineChars="200"/>
        <w:jc w:val="left"/>
        <w:rPr>
          <w:rFonts w:ascii="宋体" w:hAnsi="宋体"/>
          <w:szCs w:val="21"/>
          <w:highlight w:val="none"/>
        </w:rPr>
      </w:pPr>
      <w:r>
        <w:rPr>
          <w:rFonts w:hint="eastAsia" w:ascii="宋体" w:hAnsi="宋体"/>
          <w:szCs w:val="21"/>
          <w:highlight w:val="none"/>
        </w:rPr>
        <w:t>3、结合施工现场的实际情况进行施工组织设计（如须采用较复杂的施工技术的施工方案），施工中因施工方案及施工措施所引起的费用由承包人负责。</w:t>
      </w:r>
    </w:p>
    <w:p w14:paraId="3B9449A1">
      <w:pPr>
        <w:spacing w:line="360" w:lineRule="auto"/>
        <w:ind w:firstLine="420" w:firstLineChars="200"/>
        <w:jc w:val="left"/>
        <w:rPr>
          <w:rFonts w:ascii="宋体" w:hAnsi="宋体"/>
          <w:szCs w:val="21"/>
          <w:highlight w:val="none"/>
        </w:rPr>
      </w:pPr>
      <w:r>
        <w:rPr>
          <w:rFonts w:hint="eastAsia" w:ascii="宋体" w:hAnsi="宋体"/>
          <w:szCs w:val="21"/>
          <w:highlight w:val="none"/>
        </w:rPr>
        <w:t>三、材料要求：</w:t>
      </w:r>
    </w:p>
    <w:p w14:paraId="22581AD4">
      <w:pPr>
        <w:spacing w:line="360" w:lineRule="auto"/>
        <w:ind w:firstLine="420" w:firstLineChars="200"/>
        <w:jc w:val="left"/>
        <w:rPr>
          <w:rFonts w:ascii="宋体" w:hAnsi="宋体"/>
          <w:szCs w:val="21"/>
          <w:highlight w:val="none"/>
        </w:rPr>
      </w:pPr>
      <w:r>
        <w:rPr>
          <w:rFonts w:hint="eastAsia" w:ascii="宋体" w:hAnsi="宋体"/>
          <w:szCs w:val="21"/>
          <w:highlight w:val="none"/>
        </w:rPr>
        <w:t>1、承包人必须按招标文件本章材料、设备明细表中列明的材料要求或招标图纸要求，在施工中将选用的材料样板送发包人确认后订货。</w:t>
      </w:r>
    </w:p>
    <w:p w14:paraId="0AEB8371">
      <w:pPr>
        <w:spacing w:line="360" w:lineRule="auto"/>
        <w:ind w:firstLine="420" w:firstLineChars="200"/>
        <w:jc w:val="left"/>
        <w:rPr>
          <w:rFonts w:ascii="宋体" w:hAnsi="宋体"/>
          <w:szCs w:val="21"/>
          <w:highlight w:val="none"/>
        </w:rPr>
      </w:pPr>
      <w:r>
        <w:rPr>
          <w:rFonts w:hint="eastAsia" w:ascii="宋体" w:hAnsi="宋体"/>
          <w:szCs w:val="21"/>
          <w:highlight w:val="none"/>
        </w:rPr>
        <w:t>2、承包人购买的材料、设备必须符合设计和规范要求，必须向发包人提供厂家批号、出厂合格证、质量检验书等资料证明；发包人可随时对承包人所购买的材料、设备进行监督、检查。</w:t>
      </w:r>
    </w:p>
    <w:p w14:paraId="5AB47135">
      <w:pPr>
        <w:spacing w:line="360" w:lineRule="auto"/>
        <w:ind w:firstLine="420" w:firstLineChars="200"/>
        <w:jc w:val="left"/>
        <w:rPr>
          <w:rFonts w:ascii="宋体" w:hAnsi="宋体"/>
          <w:szCs w:val="21"/>
          <w:highlight w:val="none"/>
        </w:rPr>
      </w:pPr>
      <w:r>
        <w:rPr>
          <w:rFonts w:hint="eastAsia" w:ascii="宋体" w:hAnsi="宋体"/>
          <w:szCs w:val="21"/>
          <w:highlight w:val="none"/>
        </w:rPr>
        <w:t>3、本工程必须使用预拌混凝土（经市建设局核准同意可在施工现场搅拌混凝土的除外）。</w:t>
      </w:r>
    </w:p>
    <w:p w14:paraId="626D9B22">
      <w:pPr>
        <w:spacing w:line="360" w:lineRule="auto"/>
        <w:ind w:firstLine="420" w:firstLineChars="200"/>
        <w:jc w:val="left"/>
        <w:rPr>
          <w:rFonts w:ascii="宋体" w:hAnsi="宋体"/>
          <w:szCs w:val="21"/>
          <w:highlight w:val="none"/>
        </w:rPr>
      </w:pPr>
      <w:r>
        <w:rPr>
          <w:rFonts w:hint="eastAsia" w:ascii="宋体" w:hAnsi="宋体"/>
          <w:szCs w:val="21"/>
          <w:highlight w:val="none"/>
        </w:rPr>
        <w:t>4、根据市住建局要求，对招标工程实行“主材按定额进场验收”制度；要求承包人必须按招标图纸和施工技术标准施工，不得擅自修改工程设计，不得偷工减料，施工中每批进入工地的建筑材料、设备必须由监理工程师签字。</w:t>
      </w:r>
    </w:p>
    <w:p w14:paraId="61808CA6">
      <w:pPr>
        <w:spacing w:line="360" w:lineRule="auto"/>
        <w:ind w:firstLine="420" w:firstLineChars="200"/>
        <w:jc w:val="left"/>
        <w:rPr>
          <w:rFonts w:ascii="宋体" w:hAnsi="宋体"/>
          <w:szCs w:val="21"/>
          <w:highlight w:val="none"/>
        </w:rPr>
      </w:pPr>
      <w:r>
        <w:rPr>
          <w:rFonts w:hint="eastAsia" w:ascii="宋体" w:hAnsi="宋体"/>
          <w:szCs w:val="21"/>
          <w:highlight w:val="none"/>
        </w:rPr>
        <w:t>5、本工程对材料及设备的要求，若材料设备明细表、招标图纸、工程量清单所注明的要求不相同时，均以材料设备明细表为准；若招标图纸、工程量清单所注明的要求不相同时，则以招标图纸为准。</w:t>
      </w:r>
    </w:p>
    <w:p w14:paraId="4B280F99">
      <w:pPr>
        <w:spacing w:line="360" w:lineRule="auto"/>
        <w:ind w:firstLine="420" w:firstLineChars="200"/>
        <w:jc w:val="left"/>
        <w:rPr>
          <w:rFonts w:ascii="宋体" w:hAnsi="宋体"/>
          <w:szCs w:val="21"/>
          <w:highlight w:val="none"/>
        </w:rPr>
      </w:pPr>
      <w:r>
        <w:rPr>
          <w:rFonts w:hint="eastAsia" w:ascii="宋体" w:hAnsi="宋体"/>
          <w:szCs w:val="21"/>
          <w:highlight w:val="none"/>
        </w:rPr>
        <w:t>6、所有材料进场前，材料品牌和样板必须经业主同意，否则不可以进场并投入使用。擅自进场的材料，施工单位自行承担撤离退场的后果。</w:t>
      </w:r>
    </w:p>
    <w:p w14:paraId="41B02C7D">
      <w:pPr>
        <w:keepNext/>
        <w:keepLines/>
        <w:spacing w:line="360" w:lineRule="auto"/>
        <w:jc w:val="center"/>
        <w:outlineLvl w:val="2"/>
        <w:rPr>
          <w:b/>
          <w:bCs/>
          <w:sz w:val="24"/>
          <w:szCs w:val="32"/>
          <w:highlight w:val="none"/>
        </w:rPr>
      </w:pPr>
      <w:r>
        <w:rPr>
          <w:rFonts w:ascii="宋体" w:hAnsi="宋体"/>
          <w:b/>
          <w:spacing w:val="-12"/>
          <w:sz w:val="28"/>
          <w:highlight w:val="none"/>
        </w:rPr>
        <w:br w:type="page"/>
      </w:r>
      <w:bookmarkStart w:id="1062" w:name="_Toc404592710"/>
      <w:bookmarkStart w:id="1063" w:name="_Toc206142685"/>
      <w:bookmarkStart w:id="1064" w:name="_Toc222777552"/>
      <w:bookmarkStart w:id="1065" w:name="_Toc404593068"/>
      <w:bookmarkStart w:id="1066" w:name="_Toc188989175"/>
      <w:bookmarkStart w:id="1067" w:name="_Toc374016684"/>
      <w:r>
        <w:rPr>
          <w:rFonts w:hint="eastAsia"/>
          <w:b/>
          <w:bCs/>
          <w:sz w:val="24"/>
          <w:szCs w:val="32"/>
          <w:highlight w:val="none"/>
        </w:rPr>
        <w:t>附表一   装饰材料明细表</w:t>
      </w:r>
      <w:bookmarkEnd w:id="1062"/>
      <w:bookmarkEnd w:id="1063"/>
      <w:bookmarkEnd w:id="1064"/>
      <w:bookmarkEnd w:id="1065"/>
      <w:bookmarkEnd w:id="1066"/>
      <w:bookmarkEnd w:id="1067"/>
    </w:p>
    <w:tbl>
      <w:tblPr>
        <w:tblStyle w:val="22"/>
        <w:tblW w:w="99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3"/>
        <w:gridCol w:w="835"/>
        <w:gridCol w:w="2411"/>
        <w:gridCol w:w="1677"/>
        <w:gridCol w:w="839"/>
        <w:gridCol w:w="1494"/>
        <w:gridCol w:w="1153"/>
        <w:gridCol w:w="1135"/>
      </w:tblGrid>
      <w:tr w14:paraId="6626F2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restart"/>
            <w:vAlign w:val="center"/>
          </w:tcPr>
          <w:p w14:paraId="1B9D4CB3">
            <w:pPr>
              <w:jc w:val="center"/>
              <w:rPr>
                <w:rFonts w:ascii="宋体" w:hAnsi="宋体"/>
                <w:szCs w:val="21"/>
                <w:highlight w:val="none"/>
              </w:rPr>
            </w:pPr>
            <w:r>
              <w:rPr>
                <w:rFonts w:hint="eastAsia" w:ascii="宋体" w:hAnsi="宋体"/>
                <w:szCs w:val="21"/>
                <w:highlight w:val="none"/>
              </w:rPr>
              <w:t>拟建项目施工图内容</w:t>
            </w:r>
          </w:p>
        </w:tc>
        <w:tc>
          <w:tcPr>
            <w:tcW w:w="835" w:type="dxa"/>
            <w:vAlign w:val="center"/>
          </w:tcPr>
          <w:p w14:paraId="2355D759">
            <w:pPr>
              <w:jc w:val="center"/>
              <w:rPr>
                <w:rFonts w:ascii="宋体" w:hAnsi="宋体"/>
                <w:szCs w:val="21"/>
                <w:highlight w:val="none"/>
              </w:rPr>
            </w:pPr>
            <w:r>
              <w:rPr>
                <w:rFonts w:hint="eastAsia" w:ascii="宋体" w:hAnsi="宋体"/>
                <w:szCs w:val="21"/>
                <w:highlight w:val="none"/>
              </w:rPr>
              <w:t>项目名称</w:t>
            </w:r>
          </w:p>
        </w:tc>
        <w:tc>
          <w:tcPr>
            <w:tcW w:w="2411" w:type="dxa"/>
            <w:vAlign w:val="center"/>
          </w:tcPr>
          <w:p w14:paraId="3AA2AFB0">
            <w:pPr>
              <w:jc w:val="center"/>
              <w:rPr>
                <w:rFonts w:ascii="宋体" w:hAnsi="宋体"/>
                <w:szCs w:val="21"/>
                <w:highlight w:val="none"/>
              </w:rPr>
            </w:pPr>
            <w:r>
              <w:rPr>
                <w:rFonts w:hint="eastAsia" w:ascii="宋体" w:hAnsi="宋体"/>
                <w:szCs w:val="21"/>
                <w:highlight w:val="none"/>
              </w:rPr>
              <w:t>材料名称</w:t>
            </w:r>
          </w:p>
        </w:tc>
        <w:tc>
          <w:tcPr>
            <w:tcW w:w="1677" w:type="dxa"/>
            <w:vAlign w:val="center"/>
          </w:tcPr>
          <w:p w14:paraId="332DD9EC">
            <w:pPr>
              <w:jc w:val="center"/>
              <w:rPr>
                <w:rFonts w:ascii="宋体" w:hAnsi="宋体"/>
                <w:szCs w:val="21"/>
                <w:highlight w:val="none"/>
              </w:rPr>
            </w:pPr>
            <w:r>
              <w:rPr>
                <w:rFonts w:hint="eastAsia" w:ascii="宋体" w:hAnsi="宋体"/>
                <w:szCs w:val="21"/>
                <w:highlight w:val="none"/>
              </w:rPr>
              <w:t>规格</w:t>
            </w:r>
          </w:p>
        </w:tc>
        <w:tc>
          <w:tcPr>
            <w:tcW w:w="839" w:type="dxa"/>
            <w:vAlign w:val="center"/>
          </w:tcPr>
          <w:p w14:paraId="304084B7">
            <w:pPr>
              <w:jc w:val="center"/>
              <w:rPr>
                <w:rFonts w:ascii="宋体" w:hAnsi="宋体"/>
                <w:szCs w:val="21"/>
                <w:highlight w:val="none"/>
              </w:rPr>
            </w:pPr>
            <w:r>
              <w:rPr>
                <w:rFonts w:hint="eastAsia" w:ascii="宋体" w:hAnsi="宋体"/>
                <w:szCs w:val="21"/>
                <w:highlight w:val="none"/>
              </w:rPr>
              <w:t>颜色</w:t>
            </w:r>
          </w:p>
        </w:tc>
        <w:tc>
          <w:tcPr>
            <w:tcW w:w="1494" w:type="dxa"/>
            <w:vAlign w:val="center"/>
          </w:tcPr>
          <w:p w14:paraId="03F6337C">
            <w:pPr>
              <w:jc w:val="center"/>
              <w:rPr>
                <w:rFonts w:ascii="宋体" w:hAnsi="宋体"/>
                <w:szCs w:val="21"/>
                <w:highlight w:val="none"/>
              </w:rPr>
            </w:pPr>
            <w:r>
              <w:rPr>
                <w:rFonts w:hint="eastAsia" w:ascii="宋体" w:hAnsi="宋体"/>
                <w:szCs w:val="21"/>
                <w:highlight w:val="none"/>
              </w:rPr>
              <w:t>品牌</w:t>
            </w:r>
          </w:p>
        </w:tc>
        <w:tc>
          <w:tcPr>
            <w:tcW w:w="1153" w:type="dxa"/>
            <w:vAlign w:val="center"/>
          </w:tcPr>
          <w:p w14:paraId="760F8A3C">
            <w:pPr>
              <w:jc w:val="center"/>
              <w:rPr>
                <w:rFonts w:ascii="宋体" w:hAnsi="宋体"/>
                <w:szCs w:val="21"/>
                <w:highlight w:val="none"/>
              </w:rPr>
            </w:pPr>
            <w:r>
              <w:rPr>
                <w:rFonts w:hint="eastAsia" w:ascii="宋体" w:hAnsi="宋体"/>
                <w:szCs w:val="21"/>
                <w:highlight w:val="none"/>
              </w:rPr>
              <w:t>等级</w:t>
            </w:r>
          </w:p>
        </w:tc>
        <w:tc>
          <w:tcPr>
            <w:tcW w:w="1135" w:type="dxa"/>
            <w:vAlign w:val="center"/>
          </w:tcPr>
          <w:p w14:paraId="03F4992D">
            <w:pPr>
              <w:jc w:val="center"/>
              <w:rPr>
                <w:rFonts w:ascii="宋体" w:hAnsi="宋体"/>
                <w:szCs w:val="21"/>
                <w:highlight w:val="none"/>
              </w:rPr>
            </w:pPr>
            <w:r>
              <w:rPr>
                <w:rFonts w:hint="eastAsia" w:ascii="宋体" w:hAnsi="宋体"/>
                <w:szCs w:val="21"/>
                <w:highlight w:val="none"/>
              </w:rPr>
              <w:t>产地</w:t>
            </w:r>
          </w:p>
        </w:tc>
      </w:tr>
      <w:tr w14:paraId="757B6F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7E015CB1">
            <w:pPr>
              <w:jc w:val="center"/>
              <w:rPr>
                <w:rFonts w:ascii="宋体" w:hAnsi="宋体"/>
                <w:szCs w:val="21"/>
                <w:highlight w:val="none"/>
              </w:rPr>
            </w:pPr>
          </w:p>
        </w:tc>
        <w:tc>
          <w:tcPr>
            <w:tcW w:w="835" w:type="dxa"/>
            <w:vMerge w:val="restart"/>
            <w:vAlign w:val="center"/>
          </w:tcPr>
          <w:p w14:paraId="4FBBF464">
            <w:pPr>
              <w:jc w:val="center"/>
              <w:rPr>
                <w:rFonts w:ascii="宋体" w:hAnsi="宋体"/>
                <w:szCs w:val="21"/>
                <w:highlight w:val="none"/>
              </w:rPr>
            </w:pPr>
          </w:p>
        </w:tc>
        <w:tc>
          <w:tcPr>
            <w:tcW w:w="2411" w:type="dxa"/>
            <w:vAlign w:val="center"/>
          </w:tcPr>
          <w:p w14:paraId="1AEAEF50">
            <w:pPr>
              <w:jc w:val="center"/>
              <w:rPr>
                <w:highlight w:val="none"/>
              </w:rPr>
            </w:pPr>
            <w:r>
              <w:rPr>
                <w:rFonts w:hint="eastAsia"/>
                <w:highlight w:val="none"/>
              </w:rPr>
              <w:t>钢材</w:t>
            </w:r>
          </w:p>
        </w:tc>
        <w:tc>
          <w:tcPr>
            <w:tcW w:w="1677" w:type="dxa"/>
            <w:vAlign w:val="center"/>
          </w:tcPr>
          <w:p w14:paraId="4FB8F000">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0DEC8C2C">
            <w:pPr>
              <w:jc w:val="center"/>
              <w:rPr>
                <w:highlight w:val="none"/>
              </w:rPr>
            </w:pPr>
            <w:r>
              <w:rPr>
                <w:rFonts w:hint="eastAsia" w:ascii="宋体" w:hAnsi="宋体"/>
                <w:szCs w:val="21"/>
                <w:highlight w:val="none"/>
              </w:rPr>
              <w:t>按图</w:t>
            </w:r>
          </w:p>
        </w:tc>
        <w:tc>
          <w:tcPr>
            <w:tcW w:w="1494" w:type="dxa"/>
            <w:vAlign w:val="center"/>
          </w:tcPr>
          <w:p w14:paraId="03914B62">
            <w:pPr>
              <w:jc w:val="center"/>
              <w:rPr>
                <w:szCs w:val="21"/>
                <w:highlight w:val="none"/>
              </w:rPr>
            </w:pPr>
            <w:r>
              <w:rPr>
                <w:rFonts w:hint="eastAsia"/>
                <w:szCs w:val="21"/>
                <w:highlight w:val="none"/>
              </w:rPr>
              <w:t>韶钢</w:t>
            </w:r>
          </w:p>
          <w:p w14:paraId="50DC94C7">
            <w:pPr>
              <w:jc w:val="center"/>
              <w:rPr>
                <w:szCs w:val="21"/>
                <w:highlight w:val="none"/>
              </w:rPr>
            </w:pPr>
            <w:r>
              <w:rPr>
                <w:rFonts w:hint="eastAsia"/>
                <w:szCs w:val="21"/>
                <w:highlight w:val="none"/>
              </w:rPr>
              <w:t>广钢</w:t>
            </w:r>
          </w:p>
          <w:p w14:paraId="1C375247">
            <w:pPr>
              <w:jc w:val="center"/>
              <w:rPr>
                <w:szCs w:val="21"/>
                <w:highlight w:val="none"/>
              </w:rPr>
            </w:pPr>
            <w:r>
              <w:rPr>
                <w:rFonts w:hint="eastAsia"/>
                <w:szCs w:val="21"/>
                <w:highlight w:val="none"/>
              </w:rPr>
              <w:t>鞍钢</w:t>
            </w:r>
          </w:p>
          <w:p w14:paraId="4F600276">
            <w:pPr>
              <w:jc w:val="center"/>
              <w:rPr>
                <w:szCs w:val="21"/>
                <w:highlight w:val="none"/>
              </w:rPr>
            </w:pPr>
            <w:r>
              <w:rPr>
                <w:rFonts w:hint="eastAsia"/>
                <w:szCs w:val="21"/>
                <w:highlight w:val="none"/>
              </w:rPr>
              <w:t>武钢</w:t>
            </w:r>
          </w:p>
        </w:tc>
        <w:tc>
          <w:tcPr>
            <w:tcW w:w="1153" w:type="dxa"/>
            <w:vAlign w:val="center"/>
          </w:tcPr>
          <w:p w14:paraId="0AEB9CFE">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0FC6E9CC">
            <w:pPr>
              <w:jc w:val="center"/>
              <w:rPr>
                <w:rFonts w:ascii="宋体" w:hAnsi="宋体"/>
                <w:szCs w:val="21"/>
                <w:highlight w:val="none"/>
              </w:rPr>
            </w:pPr>
          </w:p>
        </w:tc>
      </w:tr>
      <w:tr w14:paraId="1D7EB5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1ED06141">
            <w:pPr>
              <w:jc w:val="center"/>
              <w:rPr>
                <w:rFonts w:ascii="宋体" w:hAnsi="宋体"/>
                <w:szCs w:val="21"/>
                <w:highlight w:val="none"/>
              </w:rPr>
            </w:pPr>
          </w:p>
        </w:tc>
        <w:tc>
          <w:tcPr>
            <w:tcW w:w="835" w:type="dxa"/>
            <w:vMerge w:val="continue"/>
            <w:vAlign w:val="center"/>
          </w:tcPr>
          <w:p w14:paraId="2B217371">
            <w:pPr>
              <w:jc w:val="center"/>
              <w:rPr>
                <w:rFonts w:ascii="宋体" w:hAnsi="宋体"/>
                <w:szCs w:val="21"/>
                <w:highlight w:val="none"/>
              </w:rPr>
            </w:pPr>
          </w:p>
        </w:tc>
        <w:tc>
          <w:tcPr>
            <w:tcW w:w="2411" w:type="dxa"/>
            <w:vAlign w:val="center"/>
          </w:tcPr>
          <w:p w14:paraId="7F41CF18">
            <w:pPr>
              <w:jc w:val="center"/>
              <w:rPr>
                <w:highlight w:val="none"/>
              </w:rPr>
            </w:pPr>
            <w:r>
              <w:rPr>
                <w:rFonts w:hint="eastAsia"/>
                <w:highlight w:val="none"/>
              </w:rPr>
              <w:t>水泥</w:t>
            </w:r>
          </w:p>
        </w:tc>
        <w:tc>
          <w:tcPr>
            <w:tcW w:w="1677" w:type="dxa"/>
            <w:vAlign w:val="center"/>
          </w:tcPr>
          <w:p w14:paraId="23E5D93D">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2FEDE8BB">
            <w:pPr>
              <w:jc w:val="center"/>
              <w:rPr>
                <w:highlight w:val="none"/>
              </w:rPr>
            </w:pPr>
            <w:r>
              <w:rPr>
                <w:rFonts w:hint="eastAsia" w:ascii="宋体" w:hAnsi="宋体"/>
                <w:szCs w:val="21"/>
                <w:highlight w:val="none"/>
              </w:rPr>
              <w:t>按图</w:t>
            </w:r>
          </w:p>
        </w:tc>
        <w:tc>
          <w:tcPr>
            <w:tcW w:w="1494" w:type="dxa"/>
            <w:vAlign w:val="center"/>
          </w:tcPr>
          <w:p w14:paraId="2D8A68D2">
            <w:pPr>
              <w:jc w:val="center"/>
              <w:rPr>
                <w:szCs w:val="21"/>
                <w:highlight w:val="none"/>
              </w:rPr>
            </w:pPr>
            <w:r>
              <w:rPr>
                <w:rFonts w:hint="eastAsia"/>
                <w:szCs w:val="21"/>
                <w:highlight w:val="none"/>
              </w:rPr>
              <w:t>华润</w:t>
            </w:r>
          </w:p>
          <w:p w14:paraId="3307B5DD">
            <w:pPr>
              <w:jc w:val="center"/>
              <w:rPr>
                <w:szCs w:val="21"/>
                <w:highlight w:val="none"/>
              </w:rPr>
            </w:pPr>
            <w:r>
              <w:rPr>
                <w:rFonts w:hint="eastAsia"/>
                <w:szCs w:val="21"/>
                <w:highlight w:val="none"/>
              </w:rPr>
              <w:t>台泥</w:t>
            </w:r>
          </w:p>
          <w:p w14:paraId="518664DB">
            <w:pPr>
              <w:jc w:val="center"/>
              <w:rPr>
                <w:szCs w:val="21"/>
                <w:highlight w:val="none"/>
              </w:rPr>
            </w:pPr>
            <w:r>
              <w:rPr>
                <w:rFonts w:hint="eastAsia"/>
                <w:szCs w:val="21"/>
                <w:highlight w:val="none"/>
              </w:rPr>
              <w:t>海螺</w:t>
            </w:r>
          </w:p>
        </w:tc>
        <w:tc>
          <w:tcPr>
            <w:tcW w:w="1153" w:type="dxa"/>
            <w:vAlign w:val="center"/>
          </w:tcPr>
          <w:p w14:paraId="62790F22">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3F827A3B">
            <w:pPr>
              <w:jc w:val="center"/>
              <w:rPr>
                <w:rFonts w:ascii="宋体" w:hAnsi="宋体"/>
                <w:szCs w:val="21"/>
                <w:highlight w:val="none"/>
              </w:rPr>
            </w:pPr>
          </w:p>
        </w:tc>
      </w:tr>
      <w:tr w14:paraId="063546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0D1D0728">
            <w:pPr>
              <w:jc w:val="center"/>
              <w:rPr>
                <w:rFonts w:ascii="宋体" w:hAnsi="宋体"/>
                <w:szCs w:val="21"/>
                <w:highlight w:val="none"/>
              </w:rPr>
            </w:pPr>
          </w:p>
        </w:tc>
        <w:tc>
          <w:tcPr>
            <w:tcW w:w="835" w:type="dxa"/>
            <w:vMerge w:val="continue"/>
            <w:vAlign w:val="center"/>
          </w:tcPr>
          <w:p w14:paraId="5BD51AD1">
            <w:pPr>
              <w:jc w:val="center"/>
              <w:rPr>
                <w:rFonts w:ascii="宋体" w:hAnsi="宋体"/>
                <w:szCs w:val="21"/>
                <w:highlight w:val="none"/>
              </w:rPr>
            </w:pPr>
          </w:p>
        </w:tc>
        <w:tc>
          <w:tcPr>
            <w:tcW w:w="2411" w:type="dxa"/>
            <w:vAlign w:val="center"/>
          </w:tcPr>
          <w:p w14:paraId="687E7FE9">
            <w:pPr>
              <w:jc w:val="center"/>
              <w:rPr>
                <w:highlight w:val="none"/>
              </w:rPr>
            </w:pPr>
            <w:r>
              <w:rPr>
                <w:rFonts w:hint="eastAsia"/>
                <w:highlight w:val="none"/>
              </w:rPr>
              <w:t>花岗岩、大理石</w:t>
            </w:r>
          </w:p>
        </w:tc>
        <w:tc>
          <w:tcPr>
            <w:tcW w:w="1677" w:type="dxa"/>
            <w:vAlign w:val="center"/>
          </w:tcPr>
          <w:p w14:paraId="709F7256">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51CADDDE">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3BF2B654">
            <w:pPr>
              <w:jc w:val="center"/>
              <w:rPr>
                <w:szCs w:val="21"/>
                <w:highlight w:val="none"/>
              </w:rPr>
            </w:pPr>
            <w:r>
              <w:rPr>
                <w:rFonts w:hint="eastAsia"/>
                <w:szCs w:val="21"/>
                <w:highlight w:val="none"/>
              </w:rPr>
              <w:t>东成石材</w:t>
            </w:r>
          </w:p>
          <w:p w14:paraId="12079D9E">
            <w:pPr>
              <w:jc w:val="center"/>
              <w:rPr>
                <w:szCs w:val="21"/>
                <w:highlight w:val="none"/>
              </w:rPr>
            </w:pPr>
            <w:r>
              <w:rPr>
                <w:rFonts w:hint="eastAsia"/>
                <w:szCs w:val="21"/>
                <w:highlight w:val="none"/>
              </w:rPr>
              <w:t>环球石材</w:t>
            </w:r>
          </w:p>
          <w:p w14:paraId="2D54F9B1">
            <w:pPr>
              <w:jc w:val="center"/>
              <w:rPr>
                <w:szCs w:val="21"/>
                <w:highlight w:val="none"/>
              </w:rPr>
            </w:pPr>
            <w:r>
              <w:rPr>
                <w:rFonts w:hint="eastAsia"/>
                <w:szCs w:val="21"/>
                <w:highlight w:val="none"/>
              </w:rPr>
              <w:t>港龙石材</w:t>
            </w:r>
          </w:p>
        </w:tc>
        <w:tc>
          <w:tcPr>
            <w:tcW w:w="1153" w:type="dxa"/>
            <w:vAlign w:val="center"/>
          </w:tcPr>
          <w:p w14:paraId="1118A1C2">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65F96270">
            <w:pPr>
              <w:jc w:val="center"/>
              <w:rPr>
                <w:rFonts w:ascii="宋体" w:hAnsi="宋体"/>
                <w:szCs w:val="21"/>
                <w:highlight w:val="none"/>
              </w:rPr>
            </w:pPr>
          </w:p>
        </w:tc>
      </w:tr>
      <w:tr w14:paraId="3EA571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3247B395">
            <w:pPr>
              <w:jc w:val="center"/>
              <w:rPr>
                <w:rFonts w:ascii="宋体" w:hAnsi="宋体"/>
                <w:szCs w:val="21"/>
                <w:highlight w:val="none"/>
              </w:rPr>
            </w:pPr>
          </w:p>
        </w:tc>
        <w:tc>
          <w:tcPr>
            <w:tcW w:w="835" w:type="dxa"/>
            <w:vMerge w:val="continue"/>
            <w:vAlign w:val="center"/>
          </w:tcPr>
          <w:p w14:paraId="7B86AAF6">
            <w:pPr>
              <w:jc w:val="center"/>
              <w:rPr>
                <w:rFonts w:ascii="宋体" w:hAnsi="宋体"/>
                <w:szCs w:val="21"/>
                <w:highlight w:val="none"/>
              </w:rPr>
            </w:pPr>
          </w:p>
        </w:tc>
        <w:tc>
          <w:tcPr>
            <w:tcW w:w="2411" w:type="dxa"/>
            <w:vAlign w:val="center"/>
          </w:tcPr>
          <w:p w14:paraId="19016531">
            <w:pPr>
              <w:jc w:val="center"/>
              <w:rPr>
                <w:highlight w:val="none"/>
              </w:rPr>
            </w:pPr>
            <w:r>
              <w:rPr>
                <w:rFonts w:hint="eastAsia"/>
                <w:highlight w:val="none"/>
              </w:rPr>
              <w:t>瓷砖</w:t>
            </w:r>
          </w:p>
        </w:tc>
        <w:tc>
          <w:tcPr>
            <w:tcW w:w="1677" w:type="dxa"/>
            <w:vAlign w:val="center"/>
          </w:tcPr>
          <w:p w14:paraId="25D00E2E">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16BC2CD4">
            <w:pPr>
              <w:jc w:val="center"/>
              <w:rPr>
                <w:highlight w:val="none"/>
              </w:rPr>
            </w:pPr>
            <w:r>
              <w:rPr>
                <w:rFonts w:hint="eastAsia" w:ascii="宋体" w:hAnsi="宋体"/>
                <w:szCs w:val="21"/>
                <w:highlight w:val="none"/>
              </w:rPr>
              <w:t>按图</w:t>
            </w:r>
          </w:p>
        </w:tc>
        <w:tc>
          <w:tcPr>
            <w:tcW w:w="1494" w:type="dxa"/>
            <w:vAlign w:val="center"/>
          </w:tcPr>
          <w:p w14:paraId="12509F61">
            <w:pPr>
              <w:jc w:val="center"/>
              <w:rPr>
                <w:szCs w:val="21"/>
                <w:highlight w:val="none"/>
              </w:rPr>
            </w:pPr>
            <w:r>
              <w:rPr>
                <w:rFonts w:hint="eastAsia"/>
                <w:szCs w:val="21"/>
                <w:highlight w:val="none"/>
              </w:rPr>
              <w:t>马可波罗</w:t>
            </w:r>
          </w:p>
          <w:p w14:paraId="40468C5D">
            <w:pPr>
              <w:jc w:val="center"/>
              <w:rPr>
                <w:szCs w:val="21"/>
                <w:highlight w:val="none"/>
              </w:rPr>
            </w:pPr>
            <w:r>
              <w:rPr>
                <w:rFonts w:hint="eastAsia"/>
                <w:szCs w:val="21"/>
                <w:highlight w:val="none"/>
              </w:rPr>
              <w:t>鹰牌</w:t>
            </w:r>
          </w:p>
          <w:p w14:paraId="2F92120B">
            <w:pPr>
              <w:jc w:val="center"/>
              <w:rPr>
                <w:szCs w:val="21"/>
                <w:highlight w:val="none"/>
              </w:rPr>
            </w:pPr>
            <w:r>
              <w:rPr>
                <w:rFonts w:hint="eastAsia"/>
                <w:szCs w:val="21"/>
                <w:highlight w:val="none"/>
              </w:rPr>
              <w:t>拉菲斯</w:t>
            </w:r>
          </w:p>
          <w:p w14:paraId="51B0D827">
            <w:pPr>
              <w:jc w:val="center"/>
              <w:rPr>
                <w:szCs w:val="21"/>
                <w:highlight w:val="none"/>
              </w:rPr>
            </w:pPr>
            <w:r>
              <w:rPr>
                <w:rFonts w:hint="eastAsia"/>
                <w:szCs w:val="21"/>
                <w:highlight w:val="none"/>
              </w:rPr>
              <w:t>亚细亚</w:t>
            </w:r>
          </w:p>
          <w:p w14:paraId="21E3FD38">
            <w:pPr>
              <w:jc w:val="center"/>
              <w:rPr>
                <w:szCs w:val="21"/>
                <w:highlight w:val="none"/>
              </w:rPr>
            </w:pPr>
            <w:r>
              <w:rPr>
                <w:rFonts w:hint="eastAsia"/>
                <w:szCs w:val="21"/>
                <w:highlight w:val="none"/>
              </w:rPr>
              <w:t>东鹏</w:t>
            </w:r>
          </w:p>
        </w:tc>
        <w:tc>
          <w:tcPr>
            <w:tcW w:w="1153" w:type="dxa"/>
            <w:vAlign w:val="center"/>
          </w:tcPr>
          <w:p w14:paraId="7FB6B17A">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26B3366E">
            <w:pPr>
              <w:jc w:val="center"/>
              <w:rPr>
                <w:rFonts w:ascii="宋体" w:hAnsi="宋体"/>
                <w:szCs w:val="21"/>
                <w:highlight w:val="none"/>
              </w:rPr>
            </w:pPr>
            <w:r>
              <w:rPr>
                <w:rFonts w:hint="eastAsia" w:ascii="宋体" w:hAnsi="宋体"/>
                <w:szCs w:val="21"/>
                <w:highlight w:val="none"/>
              </w:rPr>
              <w:t>东莞</w:t>
            </w:r>
          </w:p>
          <w:p w14:paraId="36BA1E67">
            <w:pPr>
              <w:jc w:val="center"/>
              <w:rPr>
                <w:rFonts w:ascii="宋体" w:hAnsi="宋体"/>
                <w:szCs w:val="21"/>
                <w:highlight w:val="none"/>
              </w:rPr>
            </w:pPr>
            <w:r>
              <w:rPr>
                <w:rFonts w:hint="eastAsia" w:ascii="宋体" w:hAnsi="宋体"/>
                <w:szCs w:val="21"/>
                <w:highlight w:val="none"/>
              </w:rPr>
              <w:t>上海</w:t>
            </w:r>
          </w:p>
          <w:p w14:paraId="62C66990">
            <w:pPr>
              <w:jc w:val="center"/>
              <w:rPr>
                <w:rFonts w:ascii="宋体" w:hAnsi="宋体"/>
                <w:szCs w:val="21"/>
                <w:highlight w:val="none"/>
              </w:rPr>
            </w:pPr>
            <w:r>
              <w:rPr>
                <w:rFonts w:hint="eastAsia" w:ascii="宋体" w:hAnsi="宋体"/>
                <w:szCs w:val="21"/>
                <w:highlight w:val="none"/>
              </w:rPr>
              <w:t>佛山</w:t>
            </w:r>
          </w:p>
          <w:p w14:paraId="7286049B">
            <w:pPr>
              <w:jc w:val="center"/>
              <w:rPr>
                <w:rFonts w:ascii="宋体" w:hAnsi="宋体"/>
                <w:szCs w:val="21"/>
                <w:highlight w:val="none"/>
              </w:rPr>
            </w:pPr>
            <w:r>
              <w:rPr>
                <w:rFonts w:hint="eastAsia" w:ascii="宋体" w:hAnsi="宋体"/>
                <w:szCs w:val="21"/>
                <w:highlight w:val="none"/>
              </w:rPr>
              <w:t>佛山</w:t>
            </w:r>
          </w:p>
          <w:p w14:paraId="0672C7EE">
            <w:pPr>
              <w:jc w:val="center"/>
              <w:rPr>
                <w:rFonts w:ascii="宋体" w:hAnsi="宋体"/>
                <w:szCs w:val="21"/>
                <w:highlight w:val="none"/>
              </w:rPr>
            </w:pPr>
            <w:r>
              <w:rPr>
                <w:rFonts w:hint="eastAsia" w:ascii="宋体" w:hAnsi="宋体"/>
                <w:szCs w:val="21"/>
                <w:highlight w:val="none"/>
              </w:rPr>
              <w:t>佛山</w:t>
            </w:r>
          </w:p>
        </w:tc>
      </w:tr>
      <w:tr w14:paraId="2B3486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287D42DA">
            <w:pPr>
              <w:jc w:val="center"/>
              <w:rPr>
                <w:rFonts w:ascii="宋体" w:hAnsi="宋体"/>
                <w:szCs w:val="21"/>
                <w:highlight w:val="none"/>
              </w:rPr>
            </w:pPr>
          </w:p>
        </w:tc>
        <w:tc>
          <w:tcPr>
            <w:tcW w:w="835" w:type="dxa"/>
            <w:vMerge w:val="continue"/>
            <w:vAlign w:val="center"/>
          </w:tcPr>
          <w:p w14:paraId="5A67AC89">
            <w:pPr>
              <w:jc w:val="center"/>
              <w:rPr>
                <w:rFonts w:ascii="宋体" w:hAnsi="宋体"/>
                <w:szCs w:val="21"/>
                <w:highlight w:val="none"/>
              </w:rPr>
            </w:pPr>
          </w:p>
        </w:tc>
        <w:tc>
          <w:tcPr>
            <w:tcW w:w="2411" w:type="dxa"/>
            <w:vAlign w:val="center"/>
          </w:tcPr>
          <w:p w14:paraId="1946D3CE">
            <w:pPr>
              <w:jc w:val="center"/>
              <w:rPr>
                <w:rFonts w:ascii="宋体" w:hAnsi="宋体"/>
                <w:szCs w:val="21"/>
                <w:highlight w:val="none"/>
              </w:rPr>
            </w:pPr>
            <w:r>
              <w:rPr>
                <w:rFonts w:hint="eastAsia" w:ascii="宋体" w:hAnsi="宋体"/>
                <w:szCs w:val="21"/>
                <w:highlight w:val="none"/>
              </w:rPr>
              <w:t>木地板</w:t>
            </w:r>
          </w:p>
        </w:tc>
        <w:tc>
          <w:tcPr>
            <w:tcW w:w="1677" w:type="dxa"/>
            <w:vAlign w:val="center"/>
          </w:tcPr>
          <w:p w14:paraId="7F9B5DE4">
            <w:pPr>
              <w:jc w:val="center"/>
              <w:rPr>
                <w:highlight w:val="none"/>
              </w:rPr>
            </w:pPr>
            <w:r>
              <w:rPr>
                <w:rFonts w:hint="eastAsia" w:ascii="宋体" w:hAnsi="宋体"/>
                <w:szCs w:val="21"/>
                <w:highlight w:val="none"/>
              </w:rPr>
              <w:t>按图</w:t>
            </w:r>
          </w:p>
        </w:tc>
        <w:tc>
          <w:tcPr>
            <w:tcW w:w="839" w:type="dxa"/>
            <w:vAlign w:val="center"/>
          </w:tcPr>
          <w:p w14:paraId="5700240A">
            <w:pPr>
              <w:jc w:val="center"/>
              <w:rPr>
                <w:highlight w:val="none"/>
              </w:rPr>
            </w:pPr>
            <w:r>
              <w:rPr>
                <w:rFonts w:hint="eastAsia" w:ascii="宋体" w:hAnsi="宋体"/>
                <w:szCs w:val="21"/>
                <w:highlight w:val="none"/>
              </w:rPr>
              <w:t>按图</w:t>
            </w:r>
          </w:p>
        </w:tc>
        <w:tc>
          <w:tcPr>
            <w:tcW w:w="1494" w:type="dxa"/>
            <w:vAlign w:val="center"/>
          </w:tcPr>
          <w:p w14:paraId="264C30E2">
            <w:pPr>
              <w:jc w:val="center"/>
              <w:rPr>
                <w:rFonts w:ascii="宋体" w:hAnsi="宋体"/>
                <w:szCs w:val="21"/>
                <w:highlight w:val="none"/>
              </w:rPr>
            </w:pPr>
            <w:r>
              <w:rPr>
                <w:rFonts w:hint="eastAsia" w:ascii="宋体" w:hAnsi="宋体"/>
                <w:szCs w:val="21"/>
                <w:highlight w:val="none"/>
              </w:rPr>
              <w:t>大自然</w:t>
            </w:r>
          </w:p>
          <w:p w14:paraId="16F3A134">
            <w:pPr>
              <w:jc w:val="center"/>
              <w:rPr>
                <w:rFonts w:ascii="宋体" w:hAnsi="宋体"/>
                <w:szCs w:val="21"/>
                <w:highlight w:val="none"/>
              </w:rPr>
            </w:pPr>
            <w:r>
              <w:rPr>
                <w:rFonts w:hint="eastAsia" w:ascii="宋体" w:hAnsi="宋体"/>
                <w:szCs w:val="21"/>
                <w:highlight w:val="none"/>
              </w:rPr>
              <w:t>圣像</w:t>
            </w:r>
          </w:p>
          <w:p w14:paraId="076BA7DE">
            <w:pPr>
              <w:jc w:val="center"/>
              <w:rPr>
                <w:rFonts w:ascii="宋体" w:hAnsi="宋体"/>
                <w:szCs w:val="21"/>
                <w:highlight w:val="none"/>
              </w:rPr>
            </w:pPr>
            <w:r>
              <w:rPr>
                <w:rFonts w:hint="eastAsia" w:ascii="宋体" w:hAnsi="宋体"/>
                <w:szCs w:val="21"/>
                <w:highlight w:val="none"/>
              </w:rPr>
              <w:t>德尔</w:t>
            </w:r>
          </w:p>
        </w:tc>
        <w:tc>
          <w:tcPr>
            <w:tcW w:w="1153" w:type="dxa"/>
            <w:vAlign w:val="center"/>
          </w:tcPr>
          <w:p w14:paraId="61DAF5C8">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4CD7A9D5">
            <w:pPr>
              <w:jc w:val="center"/>
              <w:rPr>
                <w:szCs w:val="21"/>
                <w:highlight w:val="none"/>
              </w:rPr>
            </w:pPr>
            <w:r>
              <w:rPr>
                <w:rFonts w:hint="eastAsia"/>
                <w:szCs w:val="21"/>
                <w:highlight w:val="none"/>
              </w:rPr>
              <w:t>广东</w:t>
            </w:r>
          </w:p>
          <w:p w14:paraId="046F6323">
            <w:pPr>
              <w:jc w:val="center"/>
              <w:rPr>
                <w:szCs w:val="21"/>
                <w:highlight w:val="none"/>
              </w:rPr>
            </w:pPr>
            <w:r>
              <w:rPr>
                <w:rFonts w:hint="eastAsia"/>
                <w:szCs w:val="21"/>
                <w:highlight w:val="none"/>
              </w:rPr>
              <w:t>上海</w:t>
            </w:r>
          </w:p>
          <w:p w14:paraId="56A1C430">
            <w:pPr>
              <w:jc w:val="center"/>
              <w:rPr>
                <w:szCs w:val="21"/>
                <w:highlight w:val="none"/>
              </w:rPr>
            </w:pPr>
            <w:r>
              <w:rPr>
                <w:rFonts w:hint="eastAsia"/>
                <w:szCs w:val="21"/>
                <w:highlight w:val="none"/>
              </w:rPr>
              <w:t>江苏</w:t>
            </w:r>
          </w:p>
        </w:tc>
      </w:tr>
      <w:tr w14:paraId="1C5B34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1973C589">
            <w:pPr>
              <w:jc w:val="center"/>
              <w:rPr>
                <w:rFonts w:ascii="宋体" w:hAnsi="宋体"/>
                <w:szCs w:val="21"/>
                <w:highlight w:val="none"/>
              </w:rPr>
            </w:pPr>
          </w:p>
        </w:tc>
        <w:tc>
          <w:tcPr>
            <w:tcW w:w="835" w:type="dxa"/>
            <w:vMerge w:val="continue"/>
            <w:vAlign w:val="center"/>
          </w:tcPr>
          <w:p w14:paraId="507C815A">
            <w:pPr>
              <w:jc w:val="center"/>
              <w:rPr>
                <w:rFonts w:ascii="宋体" w:hAnsi="宋体"/>
                <w:szCs w:val="21"/>
                <w:highlight w:val="none"/>
              </w:rPr>
            </w:pPr>
          </w:p>
        </w:tc>
        <w:tc>
          <w:tcPr>
            <w:tcW w:w="2411" w:type="dxa"/>
            <w:vAlign w:val="center"/>
          </w:tcPr>
          <w:p w14:paraId="7FABAFC6">
            <w:pPr>
              <w:jc w:val="center"/>
              <w:rPr>
                <w:rFonts w:ascii="宋体" w:hAnsi="宋体"/>
                <w:szCs w:val="21"/>
                <w:highlight w:val="none"/>
              </w:rPr>
            </w:pPr>
            <w:r>
              <w:rPr>
                <w:rFonts w:hint="eastAsia" w:ascii="宋体" w:hAnsi="宋体"/>
                <w:szCs w:val="21"/>
                <w:highlight w:val="none"/>
              </w:rPr>
              <w:t>地板胶</w:t>
            </w:r>
          </w:p>
        </w:tc>
        <w:tc>
          <w:tcPr>
            <w:tcW w:w="1677" w:type="dxa"/>
            <w:vAlign w:val="center"/>
          </w:tcPr>
          <w:p w14:paraId="068CB4D0">
            <w:pPr>
              <w:jc w:val="center"/>
              <w:rPr>
                <w:highlight w:val="none"/>
              </w:rPr>
            </w:pPr>
            <w:r>
              <w:rPr>
                <w:rFonts w:hint="eastAsia" w:ascii="宋体" w:hAnsi="宋体"/>
                <w:szCs w:val="21"/>
                <w:highlight w:val="none"/>
              </w:rPr>
              <w:t>按图</w:t>
            </w:r>
          </w:p>
        </w:tc>
        <w:tc>
          <w:tcPr>
            <w:tcW w:w="839" w:type="dxa"/>
            <w:vAlign w:val="center"/>
          </w:tcPr>
          <w:p w14:paraId="51A30B71">
            <w:pPr>
              <w:jc w:val="center"/>
              <w:rPr>
                <w:highlight w:val="none"/>
              </w:rPr>
            </w:pPr>
            <w:r>
              <w:rPr>
                <w:rFonts w:hint="eastAsia" w:ascii="宋体" w:hAnsi="宋体"/>
                <w:szCs w:val="21"/>
                <w:highlight w:val="none"/>
              </w:rPr>
              <w:t>按图</w:t>
            </w:r>
          </w:p>
        </w:tc>
        <w:tc>
          <w:tcPr>
            <w:tcW w:w="1494" w:type="dxa"/>
            <w:vAlign w:val="center"/>
          </w:tcPr>
          <w:p w14:paraId="25BA9A60">
            <w:pPr>
              <w:jc w:val="center"/>
              <w:rPr>
                <w:rFonts w:ascii="宋体" w:hAnsi="宋体"/>
                <w:szCs w:val="21"/>
                <w:highlight w:val="none"/>
              </w:rPr>
            </w:pPr>
            <w:r>
              <w:rPr>
                <w:rFonts w:hint="eastAsia" w:ascii="宋体" w:hAnsi="宋体"/>
                <w:szCs w:val="21"/>
                <w:highlight w:val="none"/>
              </w:rPr>
              <w:t>阿姆斯状</w:t>
            </w:r>
          </w:p>
          <w:p w14:paraId="2AB77500">
            <w:pPr>
              <w:jc w:val="center"/>
              <w:rPr>
                <w:rFonts w:ascii="宋体" w:hAnsi="宋体"/>
                <w:szCs w:val="21"/>
                <w:highlight w:val="none"/>
              </w:rPr>
            </w:pPr>
            <w:r>
              <w:rPr>
                <w:rFonts w:hint="eastAsia" w:ascii="宋体" w:hAnsi="宋体"/>
                <w:szCs w:val="21"/>
                <w:highlight w:val="none"/>
              </w:rPr>
              <w:t>LG（乐金）</w:t>
            </w:r>
          </w:p>
          <w:p w14:paraId="5522C9A9">
            <w:pPr>
              <w:jc w:val="center"/>
              <w:rPr>
                <w:rFonts w:ascii="宋体" w:hAnsi="宋体"/>
                <w:szCs w:val="21"/>
                <w:highlight w:val="none"/>
              </w:rPr>
            </w:pPr>
            <w:r>
              <w:rPr>
                <w:rFonts w:hint="eastAsia" w:ascii="宋体" w:hAnsi="宋体"/>
                <w:szCs w:val="21"/>
                <w:highlight w:val="none"/>
              </w:rPr>
              <w:t>洁福</w:t>
            </w:r>
          </w:p>
        </w:tc>
        <w:tc>
          <w:tcPr>
            <w:tcW w:w="1153" w:type="dxa"/>
            <w:vAlign w:val="center"/>
          </w:tcPr>
          <w:p w14:paraId="10BE6282">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6D4F0578">
            <w:pPr>
              <w:jc w:val="center"/>
              <w:rPr>
                <w:szCs w:val="21"/>
                <w:highlight w:val="none"/>
              </w:rPr>
            </w:pPr>
            <w:r>
              <w:rPr>
                <w:rFonts w:hint="eastAsia"/>
                <w:szCs w:val="21"/>
                <w:highlight w:val="none"/>
              </w:rPr>
              <w:t>合资</w:t>
            </w:r>
          </w:p>
        </w:tc>
      </w:tr>
      <w:tr w14:paraId="61C25B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084BB504">
            <w:pPr>
              <w:jc w:val="center"/>
              <w:rPr>
                <w:rFonts w:ascii="宋体" w:hAnsi="宋体"/>
                <w:szCs w:val="21"/>
                <w:highlight w:val="none"/>
              </w:rPr>
            </w:pPr>
          </w:p>
        </w:tc>
        <w:tc>
          <w:tcPr>
            <w:tcW w:w="835" w:type="dxa"/>
            <w:vMerge w:val="continue"/>
            <w:vAlign w:val="center"/>
          </w:tcPr>
          <w:p w14:paraId="72D5EF39">
            <w:pPr>
              <w:jc w:val="center"/>
              <w:rPr>
                <w:rFonts w:ascii="宋体" w:hAnsi="宋体"/>
                <w:szCs w:val="21"/>
                <w:highlight w:val="none"/>
              </w:rPr>
            </w:pPr>
          </w:p>
        </w:tc>
        <w:tc>
          <w:tcPr>
            <w:tcW w:w="2411" w:type="dxa"/>
            <w:vAlign w:val="center"/>
          </w:tcPr>
          <w:p w14:paraId="31715D35">
            <w:pPr>
              <w:jc w:val="center"/>
              <w:rPr>
                <w:rFonts w:ascii="宋体" w:hAnsi="宋体"/>
                <w:szCs w:val="21"/>
                <w:highlight w:val="none"/>
              </w:rPr>
            </w:pPr>
            <w:r>
              <w:rPr>
                <w:rFonts w:hint="eastAsia" w:ascii="宋体" w:hAnsi="宋体"/>
                <w:szCs w:val="21"/>
                <w:highlight w:val="none"/>
              </w:rPr>
              <w:t>地毯</w:t>
            </w:r>
          </w:p>
        </w:tc>
        <w:tc>
          <w:tcPr>
            <w:tcW w:w="1677" w:type="dxa"/>
            <w:vAlign w:val="center"/>
          </w:tcPr>
          <w:p w14:paraId="1053AD31">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3E81D531">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5E10FAC9">
            <w:pPr>
              <w:jc w:val="center"/>
              <w:rPr>
                <w:rFonts w:ascii="宋体" w:hAnsi="宋体"/>
                <w:szCs w:val="21"/>
                <w:highlight w:val="none"/>
              </w:rPr>
            </w:pPr>
            <w:r>
              <w:rPr>
                <w:rFonts w:hint="eastAsia" w:ascii="宋体" w:hAnsi="宋体"/>
                <w:szCs w:val="21"/>
                <w:highlight w:val="none"/>
              </w:rPr>
              <w:t>巨东</w:t>
            </w:r>
          </w:p>
          <w:p w14:paraId="3F617090">
            <w:pPr>
              <w:jc w:val="center"/>
              <w:rPr>
                <w:rFonts w:ascii="宋体" w:hAnsi="宋体"/>
                <w:szCs w:val="21"/>
                <w:highlight w:val="none"/>
              </w:rPr>
            </w:pPr>
            <w:r>
              <w:rPr>
                <w:rFonts w:hint="eastAsia" w:ascii="宋体" w:hAnsi="宋体"/>
                <w:szCs w:val="21"/>
                <w:highlight w:val="none"/>
              </w:rPr>
              <w:t>山花</w:t>
            </w:r>
          </w:p>
          <w:p w14:paraId="6DEFF952">
            <w:pPr>
              <w:jc w:val="center"/>
              <w:rPr>
                <w:rFonts w:ascii="宋体" w:hAnsi="宋体"/>
                <w:szCs w:val="21"/>
                <w:highlight w:val="none"/>
              </w:rPr>
            </w:pPr>
            <w:r>
              <w:rPr>
                <w:rFonts w:hint="eastAsia" w:ascii="宋体" w:hAnsi="宋体"/>
                <w:szCs w:val="21"/>
                <w:highlight w:val="none"/>
              </w:rPr>
              <w:t>海马</w:t>
            </w:r>
          </w:p>
        </w:tc>
        <w:tc>
          <w:tcPr>
            <w:tcW w:w="1153" w:type="dxa"/>
            <w:vAlign w:val="center"/>
          </w:tcPr>
          <w:p w14:paraId="72AF911F">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786D8B3E">
            <w:pPr>
              <w:jc w:val="center"/>
              <w:rPr>
                <w:szCs w:val="21"/>
                <w:highlight w:val="none"/>
              </w:rPr>
            </w:pPr>
            <w:r>
              <w:rPr>
                <w:rFonts w:hint="eastAsia"/>
                <w:szCs w:val="21"/>
                <w:highlight w:val="none"/>
              </w:rPr>
              <w:t>上海</w:t>
            </w:r>
          </w:p>
          <w:p w14:paraId="00550801">
            <w:pPr>
              <w:jc w:val="center"/>
              <w:rPr>
                <w:szCs w:val="21"/>
                <w:highlight w:val="none"/>
              </w:rPr>
            </w:pPr>
            <w:r>
              <w:rPr>
                <w:rFonts w:hint="eastAsia"/>
                <w:szCs w:val="21"/>
                <w:highlight w:val="none"/>
              </w:rPr>
              <w:t>山东</w:t>
            </w:r>
          </w:p>
        </w:tc>
      </w:tr>
      <w:tr w14:paraId="1F3680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0DBF1B34">
            <w:pPr>
              <w:jc w:val="center"/>
              <w:rPr>
                <w:rFonts w:ascii="宋体" w:hAnsi="宋体"/>
                <w:szCs w:val="21"/>
                <w:highlight w:val="none"/>
              </w:rPr>
            </w:pPr>
          </w:p>
        </w:tc>
        <w:tc>
          <w:tcPr>
            <w:tcW w:w="835" w:type="dxa"/>
            <w:vMerge w:val="continue"/>
            <w:vAlign w:val="center"/>
          </w:tcPr>
          <w:p w14:paraId="09ECEA54">
            <w:pPr>
              <w:jc w:val="center"/>
              <w:rPr>
                <w:rFonts w:ascii="宋体" w:hAnsi="宋体"/>
                <w:szCs w:val="21"/>
                <w:highlight w:val="none"/>
              </w:rPr>
            </w:pPr>
          </w:p>
        </w:tc>
        <w:tc>
          <w:tcPr>
            <w:tcW w:w="2411" w:type="dxa"/>
            <w:vAlign w:val="center"/>
          </w:tcPr>
          <w:p w14:paraId="4E30F4D1">
            <w:pPr>
              <w:jc w:val="center"/>
              <w:rPr>
                <w:rFonts w:ascii="宋体" w:hAnsi="宋体"/>
                <w:szCs w:val="21"/>
                <w:highlight w:val="none"/>
              </w:rPr>
            </w:pPr>
            <w:r>
              <w:rPr>
                <w:rFonts w:hint="eastAsia" w:ascii="宋体" w:hAnsi="宋体"/>
                <w:szCs w:val="21"/>
                <w:highlight w:val="none"/>
              </w:rPr>
              <w:t>乳胶漆</w:t>
            </w:r>
          </w:p>
        </w:tc>
        <w:tc>
          <w:tcPr>
            <w:tcW w:w="1677" w:type="dxa"/>
            <w:vAlign w:val="center"/>
          </w:tcPr>
          <w:p w14:paraId="3FC21AD9">
            <w:pPr>
              <w:jc w:val="center"/>
              <w:rPr>
                <w:highlight w:val="none"/>
              </w:rPr>
            </w:pPr>
            <w:r>
              <w:rPr>
                <w:rFonts w:hint="eastAsia" w:ascii="宋体" w:hAnsi="宋体"/>
                <w:szCs w:val="21"/>
                <w:highlight w:val="none"/>
              </w:rPr>
              <w:t>按图</w:t>
            </w:r>
          </w:p>
        </w:tc>
        <w:tc>
          <w:tcPr>
            <w:tcW w:w="839" w:type="dxa"/>
            <w:vAlign w:val="center"/>
          </w:tcPr>
          <w:p w14:paraId="7943DBD5">
            <w:pPr>
              <w:jc w:val="center"/>
              <w:rPr>
                <w:highlight w:val="none"/>
              </w:rPr>
            </w:pPr>
            <w:r>
              <w:rPr>
                <w:rFonts w:hint="eastAsia" w:ascii="宋体" w:hAnsi="宋体"/>
                <w:szCs w:val="21"/>
                <w:highlight w:val="none"/>
              </w:rPr>
              <w:t>按图</w:t>
            </w:r>
          </w:p>
        </w:tc>
        <w:tc>
          <w:tcPr>
            <w:tcW w:w="1494" w:type="dxa"/>
            <w:vAlign w:val="center"/>
          </w:tcPr>
          <w:p w14:paraId="6AFEDC38">
            <w:pPr>
              <w:jc w:val="center"/>
              <w:rPr>
                <w:rFonts w:ascii="宋体" w:hAnsi="宋体"/>
                <w:szCs w:val="21"/>
                <w:highlight w:val="none"/>
              </w:rPr>
            </w:pPr>
            <w:r>
              <w:rPr>
                <w:rFonts w:hint="eastAsia" w:ascii="宋体" w:hAnsi="宋体"/>
                <w:szCs w:val="21"/>
                <w:highlight w:val="none"/>
              </w:rPr>
              <w:t>立邦</w:t>
            </w:r>
          </w:p>
          <w:p w14:paraId="5E0DE7BC">
            <w:pPr>
              <w:jc w:val="center"/>
              <w:rPr>
                <w:rFonts w:ascii="宋体" w:hAnsi="宋体"/>
                <w:szCs w:val="21"/>
                <w:highlight w:val="none"/>
              </w:rPr>
            </w:pPr>
            <w:r>
              <w:rPr>
                <w:rFonts w:hint="eastAsia" w:ascii="宋体" w:hAnsi="宋体"/>
                <w:szCs w:val="21"/>
                <w:highlight w:val="none"/>
              </w:rPr>
              <w:t>多乐士</w:t>
            </w:r>
          </w:p>
          <w:p w14:paraId="129AE76F">
            <w:pPr>
              <w:jc w:val="center"/>
              <w:rPr>
                <w:rFonts w:ascii="宋体" w:hAnsi="宋体"/>
                <w:szCs w:val="21"/>
                <w:highlight w:val="none"/>
              </w:rPr>
            </w:pPr>
            <w:r>
              <w:rPr>
                <w:rFonts w:hint="eastAsia" w:ascii="宋体" w:hAnsi="宋体"/>
                <w:szCs w:val="21"/>
                <w:highlight w:val="none"/>
              </w:rPr>
              <w:t>来威</w:t>
            </w:r>
          </w:p>
        </w:tc>
        <w:tc>
          <w:tcPr>
            <w:tcW w:w="1153" w:type="dxa"/>
            <w:vAlign w:val="center"/>
          </w:tcPr>
          <w:p w14:paraId="4154AF36">
            <w:pPr>
              <w:jc w:val="center"/>
              <w:rPr>
                <w:highlight w:val="none"/>
              </w:rPr>
            </w:pPr>
            <w:r>
              <w:rPr>
                <w:rFonts w:hint="eastAsia" w:ascii="宋体" w:hAnsi="宋体"/>
                <w:szCs w:val="21"/>
                <w:highlight w:val="none"/>
              </w:rPr>
              <w:t>优等</w:t>
            </w:r>
          </w:p>
        </w:tc>
        <w:tc>
          <w:tcPr>
            <w:tcW w:w="1135" w:type="dxa"/>
            <w:vAlign w:val="center"/>
          </w:tcPr>
          <w:p w14:paraId="661F31CF">
            <w:pPr>
              <w:jc w:val="center"/>
              <w:rPr>
                <w:highlight w:val="none"/>
              </w:rPr>
            </w:pPr>
            <w:r>
              <w:rPr>
                <w:rFonts w:hint="eastAsia"/>
                <w:szCs w:val="21"/>
                <w:highlight w:val="none"/>
              </w:rPr>
              <w:t>合资</w:t>
            </w:r>
          </w:p>
        </w:tc>
      </w:tr>
      <w:tr w14:paraId="4183F5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535765B3">
            <w:pPr>
              <w:jc w:val="center"/>
              <w:rPr>
                <w:rFonts w:ascii="宋体" w:hAnsi="宋体"/>
                <w:szCs w:val="21"/>
                <w:highlight w:val="none"/>
              </w:rPr>
            </w:pPr>
          </w:p>
        </w:tc>
        <w:tc>
          <w:tcPr>
            <w:tcW w:w="835" w:type="dxa"/>
            <w:vMerge w:val="continue"/>
            <w:vAlign w:val="center"/>
          </w:tcPr>
          <w:p w14:paraId="511F1536">
            <w:pPr>
              <w:jc w:val="center"/>
              <w:rPr>
                <w:rFonts w:ascii="宋体" w:hAnsi="宋体"/>
                <w:szCs w:val="21"/>
                <w:highlight w:val="none"/>
              </w:rPr>
            </w:pPr>
          </w:p>
        </w:tc>
        <w:tc>
          <w:tcPr>
            <w:tcW w:w="2411" w:type="dxa"/>
            <w:tcBorders>
              <w:bottom w:val="single" w:color="auto" w:sz="4" w:space="0"/>
            </w:tcBorders>
            <w:vAlign w:val="center"/>
          </w:tcPr>
          <w:p w14:paraId="64D557B9">
            <w:pPr>
              <w:jc w:val="center"/>
              <w:rPr>
                <w:rFonts w:ascii="宋体" w:hAnsi="宋体"/>
                <w:szCs w:val="21"/>
                <w:highlight w:val="none"/>
              </w:rPr>
            </w:pPr>
            <w:r>
              <w:rPr>
                <w:rFonts w:hint="eastAsia" w:ascii="宋体" w:hAnsi="宋体"/>
                <w:szCs w:val="21"/>
                <w:highlight w:val="none"/>
              </w:rPr>
              <w:t>瓷砖胶</w:t>
            </w:r>
          </w:p>
        </w:tc>
        <w:tc>
          <w:tcPr>
            <w:tcW w:w="1677" w:type="dxa"/>
            <w:vAlign w:val="center"/>
          </w:tcPr>
          <w:p w14:paraId="22645365">
            <w:pPr>
              <w:jc w:val="center"/>
              <w:rPr>
                <w:highlight w:val="none"/>
              </w:rPr>
            </w:pPr>
            <w:r>
              <w:rPr>
                <w:rFonts w:hint="eastAsia" w:ascii="宋体" w:hAnsi="宋体"/>
                <w:szCs w:val="21"/>
                <w:highlight w:val="none"/>
              </w:rPr>
              <w:t>按图</w:t>
            </w:r>
          </w:p>
        </w:tc>
        <w:tc>
          <w:tcPr>
            <w:tcW w:w="839" w:type="dxa"/>
            <w:vAlign w:val="center"/>
          </w:tcPr>
          <w:p w14:paraId="375DC8C6">
            <w:pPr>
              <w:jc w:val="center"/>
              <w:rPr>
                <w:highlight w:val="none"/>
              </w:rPr>
            </w:pPr>
            <w:r>
              <w:rPr>
                <w:rFonts w:hint="eastAsia" w:ascii="宋体" w:hAnsi="宋体"/>
                <w:szCs w:val="21"/>
                <w:highlight w:val="none"/>
              </w:rPr>
              <w:t>按图</w:t>
            </w:r>
          </w:p>
        </w:tc>
        <w:tc>
          <w:tcPr>
            <w:tcW w:w="1494" w:type="dxa"/>
            <w:vAlign w:val="center"/>
          </w:tcPr>
          <w:p w14:paraId="4F9A5848">
            <w:pPr>
              <w:jc w:val="center"/>
              <w:rPr>
                <w:rFonts w:ascii="宋体" w:hAnsi="宋体"/>
                <w:szCs w:val="21"/>
                <w:highlight w:val="none"/>
              </w:rPr>
            </w:pPr>
            <w:r>
              <w:rPr>
                <w:rFonts w:hint="eastAsia" w:ascii="宋体" w:hAnsi="宋体"/>
                <w:szCs w:val="21"/>
                <w:highlight w:val="none"/>
              </w:rPr>
              <w:t>德高</w:t>
            </w:r>
          </w:p>
          <w:p w14:paraId="5E780911">
            <w:pPr>
              <w:jc w:val="center"/>
              <w:rPr>
                <w:rFonts w:ascii="宋体" w:hAnsi="宋体"/>
                <w:szCs w:val="21"/>
                <w:highlight w:val="none"/>
              </w:rPr>
            </w:pPr>
            <w:r>
              <w:rPr>
                <w:rFonts w:hint="eastAsia" w:ascii="宋体" w:hAnsi="宋体"/>
                <w:szCs w:val="21"/>
                <w:highlight w:val="none"/>
              </w:rPr>
              <w:t>盛邦</w:t>
            </w:r>
          </w:p>
          <w:p w14:paraId="475C91AB">
            <w:pPr>
              <w:jc w:val="center"/>
              <w:rPr>
                <w:rFonts w:ascii="宋体" w:hAnsi="宋体"/>
                <w:szCs w:val="21"/>
                <w:highlight w:val="none"/>
              </w:rPr>
            </w:pPr>
            <w:r>
              <w:rPr>
                <w:rFonts w:hint="eastAsia" w:ascii="宋体" w:hAnsi="宋体"/>
                <w:szCs w:val="21"/>
                <w:highlight w:val="none"/>
              </w:rPr>
              <w:t>马贝</w:t>
            </w:r>
          </w:p>
        </w:tc>
        <w:tc>
          <w:tcPr>
            <w:tcW w:w="1153" w:type="dxa"/>
            <w:vAlign w:val="center"/>
          </w:tcPr>
          <w:p w14:paraId="1959F7E4">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291E8A15">
            <w:pPr>
              <w:jc w:val="center"/>
              <w:rPr>
                <w:highlight w:val="none"/>
              </w:rPr>
            </w:pPr>
            <w:r>
              <w:rPr>
                <w:rFonts w:hint="eastAsia"/>
                <w:highlight w:val="none"/>
              </w:rPr>
              <w:t>广州</w:t>
            </w:r>
          </w:p>
          <w:p w14:paraId="272CCB36">
            <w:pPr>
              <w:jc w:val="center"/>
              <w:rPr>
                <w:highlight w:val="none"/>
              </w:rPr>
            </w:pPr>
            <w:r>
              <w:rPr>
                <w:rFonts w:hint="eastAsia"/>
                <w:highlight w:val="none"/>
              </w:rPr>
              <w:t>北京</w:t>
            </w:r>
          </w:p>
          <w:p w14:paraId="34985BDA">
            <w:pPr>
              <w:jc w:val="center"/>
              <w:rPr>
                <w:highlight w:val="none"/>
              </w:rPr>
            </w:pPr>
            <w:r>
              <w:rPr>
                <w:rFonts w:hint="eastAsia"/>
                <w:highlight w:val="none"/>
              </w:rPr>
              <w:t>广州</w:t>
            </w:r>
          </w:p>
        </w:tc>
      </w:tr>
      <w:tr w14:paraId="46AEA0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27888652">
            <w:pPr>
              <w:jc w:val="center"/>
              <w:rPr>
                <w:rFonts w:ascii="宋体" w:hAnsi="宋体"/>
                <w:szCs w:val="21"/>
                <w:highlight w:val="none"/>
              </w:rPr>
            </w:pPr>
          </w:p>
        </w:tc>
        <w:tc>
          <w:tcPr>
            <w:tcW w:w="835" w:type="dxa"/>
            <w:vMerge w:val="continue"/>
            <w:vAlign w:val="center"/>
          </w:tcPr>
          <w:p w14:paraId="74E430A3">
            <w:pPr>
              <w:jc w:val="center"/>
              <w:rPr>
                <w:rFonts w:ascii="宋体" w:hAnsi="宋体"/>
                <w:szCs w:val="21"/>
                <w:highlight w:val="none"/>
              </w:rPr>
            </w:pPr>
          </w:p>
        </w:tc>
        <w:tc>
          <w:tcPr>
            <w:tcW w:w="2411" w:type="dxa"/>
            <w:tcBorders>
              <w:bottom w:val="single" w:color="auto" w:sz="4" w:space="0"/>
            </w:tcBorders>
            <w:vAlign w:val="center"/>
          </w:tcPr>
          <w:p w14:paraId="056DD49F">
            <w:pPr>
              <w:jc w:val="center"/>
              <w:rPr>
                <w:rFonts w:ascii="宋体" w:hAnsi="宋体"/>
                <w:szCs w:val="21"/>
                <w:highlight w:val="none"/>
              </w:rPr>
            </w:pPr>
            <w:r>
              <w:rPr>
                <w:rFonts w:hint="eastAsia" w:ascii="宋体" w:hAnsi="宋体"/>
                <w:szCs w:val="21"/>
                <w:highlight w:val="none"/>
              </w:rPr>
              <w:t>壁布</w:t>
            </w:r>
          </w:p>
        </w:tc>
        <w:tc>
          <w:tcPr>
            <w:tcW w:w="1677" w:type="dxa"/>
            <w:vAlign w:val="center"/>
          </w:tcPr>
          <w:p w14:paraId="3F5D86F7">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760EDBE8">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6FFB337F">
            <w:pPr>
              <w:jc w:val="center"/>
              <w:rPr>
                <w:rFonts w:ascii="宋体" w:hAnsi="宋体"/>
                <w:szCs w:val="21"/>
                <w:highlight w:val="none"/>
              </w:rPr>
            </w:pPr>
            <w:r>
              <w:rPr>
                <w:rFonts w:hint="eastAsia" w:ascii="宋体" w:hAnsi="宋体"/>
                <w:szCs w:val="21"/>
                <w:highlight w:val="none"/>
              </w:rPr>
              <w:t>优丽奇</w:t>
            </w:r>
          </w:p>
          <w:p w14:paraId="1BB11E67">
            <w:pPr>
              <w:jc w:val="center"/>
              <w:rPr>
                <w:rFonts w:ascii="宋体" w:hAnsi="宋体"/>
                <w:szCs w:val="21"/>
                <w:highlight w:val="none"/>
              </w:rPr>
            </w:pPr>
            <w:r>
              <w:rPr>
                <w:rFonts w:hint="eastAsia" w:ascii="宋体" w:hAnsi="宋体"/>
                <w:szCs w:val="21"/>
                <w:highlight w:val="none"/>
              </w:rPr>
              <w:t>爱舍</w:t>
            </w:r>
          </w:p>
          <w:p w14:paraId="6089465B">
            <w:pPr>
              <w:jc w:val="center"/>
              <w:rPr>
                <w:rFonts w:ascii="宋体" w:hAnsi="宋体"/>
                <w:szCs w:val="21"/>
                <w:highlight w:val="none"/>
              </w:rPr>
            </w:pPr>
            <w:r>
              <w:rPr>
                <w:rFonts w:hint="eastAsia" w:ascii="宋体" w:hAnsi="宋体"/>
                <w:szCs w:val="21"/>
                <w:highlight w:val="none"/>
              </w:rPr>
              <w:t>欧雅</w:t>
            </w:r>
          </w:p>
          <w:p w14:paraId="7054234D">
            <w:pPr>
              <w:jc w:val="center"/>
              <w:rPr>
                <w:rFonts w:ascii="宋体" w:hAnsi="宋体"/>
                <w:szCs w:val="21"/>
                <w:highlight w:val="none"/>
              </w:rPr>
            </w:pPr>
            <w:r>
              <w:rPr>
                <w:rFonts w:hint="eastAsia" w:ascii="宋体" w:hAnsi="宋体"/>
                <w:szCs w:val="21"/>
                <w:highlight w:val="none"/>
              </w:rPr>
              <w:t>玉兰</w:t>
            </w:r>
          </w:p>
        </w:tc>
        <w:tc>
          <w:tcPr>
            <w:tcW w:w="1153" w:type="dxa"/>
            <w:vAlign w:val="center"/>
          </w:tcPr>
          <w:p w14:paraId="0711ACB9">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0B485D26">
            <w:pPr>
              <w:jc w:val="center"/>
              <w:rPr>
                <w:highlight w:val="none"/>
              </w:rPr>
            </w:pPr>
            <w:r>
              <w:rPr>
                <w:rFonts w:hint="eastAsia"/>
                <w:highlight w:val="none"/>
              </w:rPr>
              <w:t>上海</w:t>
            </w:r>
          </w:p>
          <w:p w14:paraId="6C5EBD23">
            <w:pPr>
              <w:jc w:val="center"/>
              <w:rPr>
                <w:highlight w:val="none"/>
              </w:rPr>
            </w:pPr>
            <w:r>
              <w:rPr>
                <w:rFonts w:hint="eastAsia"/>
                <w:highlight w:val="none"/>
              </w:rPr>
              <w:t>江苏</w:t>
            </w:r>
          </w:p>
          <w:p w14:paraId="6A63209C">
            <w:pPr>
              <w:jc w:val="center"/>
              <w:rPr>
                <w:highlight w:val="none"/>
              </w:rPr>
            </w:pPr>
            <w:r>
              <w:rPr>
                <w:rFonts w:hint="eastAsia"/>
                <w:highlight w:val="none"/>
              </w:rPr>
              <w:t>上海</w:t>
            </w:r>
          </w:p>
          <w:p w14:paraId="7A716A62">
            <w:pPr>
              <w:jc w:val="center"/>
              <w:rPr>
                <w:highlight w:val="none"/>
              </w:rPr>
            </w:pPr>
            <w:r>
              <w:rPr>
                <w:rFonts w:hint="eastAsia"/>
                <w:highlight w:val="none"/>
              </w:rPr>
              <w:t>广东</w:t>
            </w:r>
          </w:p>
        </w:tc>
      </w:tr>
      <w:tr w14:paraId="13E56B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146D7587">
            <w:pPr>
              <w:jc w:val="center"/>
              <w:rPr>
                <w:rFonts w:ascii="宋体" w:hAnsi="宋体"/>
                <w:szCs w:val="21"/>
                <w:highlight w:val="none"/>
              </w:rPr>
            </w:pPr>
          </w:p>
        </w:tc>
        <w:tc>
          <w:tcPr>
            <w:tcW w:w="835" w:type="dxa"/>
            <w:vMerge w:val="continue"/>
            <w:vAlign w:val="center"/>
          </w:tcPr>
          <w:p w14:paraId="26E8A8A3">
            <w:pPr>
              <w:jc w:val="center"/>
              <w:rPr>
                <w:rFonts w:ascii="宋体" w:hAnsi="宋体"/>
                <w:szCs w:val="21"/>
                <w:highlight w:val="none"/>
              </w:rPr>
            </w:pPr>
          </w:p>
        </w:tc>
        <w:tc>
          <w:tcPr>
            <w:tcW w:w="2411" w:type="dxa"/>
            <w:tcBorders>
              <w:bottom w:val="single" w:color="auto" w:sz="4" w:space="0"/>
            </w:tcBorders>
            <w:vAlign w:val="center"/>
          </w:tcPr>
          <w:p w14:paraId="4C2609B5">
            <w:pPr>
              <w:jc w:val="center"/>
              <w:rPr>
                <w:rFonts w:ascii="宋体" w:hAnsi="宋体"/>
                <w:szCs w:val="21"/>
                <w:highlight w:val="none"/>
              </w:rPr>
            </w:pPr>
            <w:r>
              <w:rPr>
                <w:rFonts w:hint="eastAsia" w:ascii="宋体" w:hAnsi="宋体"/>
                <w:szCs w:val="21"/>
                <w:highlight w:val="none"/>
              </w:rPr>
              <w:t>防水涂料</w:t>
            </w:r>
          </w:p>
        </w:tc>
        <w:tc>
          <w:tcPr>
            <w:tcW w:w="1677" w:type="dxa"/>
            <w:vAlign w:val="center"/>
          </w:tcPr>
          <w:p w14:paraId="1C531CE3">
            <w:pPr>
              <w:jc w:val="center"/>
              <w:rPr>
                <w:highlight w:val="none"/>
              </w:rPr>
            </w:pPr>
            <w:r>
              <w:rPr>
                <w:rFonts w:hint="eastAsia" w:ascii="宋体" w:hAnsi="宋体"/>
                <w:szCs w:val="21"/>
                <w:highlight w:val="none"/>
              </w:rPr>
              <w:t>按图</w:t>
            </w:r>
          </w:p>
        </w:tc>
        <w:tc>
          <w:tcPr>
            <w:tcW w:w="839" w:type="dxa"/>
            <w:vAlign w:val="center"/>
          </w:tcPr>
          <w:p w14:paraId="30727D59">
            <w:pPr>
              <w:jc w:val="center"/>
              <w:rPr>
                <w:highlight w:val="none"/>
              </w:rPr>
            </w:pPr>
            <w:r>
              <w:rPr>
                <w:rFonts w:hint="eastAsia" w:ascii="宋体" w:hAnsi="宋体"/>
                <w:szCs w:val="21"/>
                <w:highlight w:val="none"/>
              </w:rPr>
              <w:t>按图</w:t>
            </w:r>
          </w:p>
        </w:tc>
        <w:tc>
          <w:tcPr>
            <w:tcW w:w="1494" w:type="dxa"/>
            <w:vAlign w:val="center"/>
          </w:tcPr>
          <w:p w14:paraId="2241388B">
            <w:pPr>
              <w:jc w:val="center"/>
              <w:rPr>
                <w:rFonts w:ascii="宋体" w:hAnsi="宋体"/>
                <w:szCs w:val="21"/>
                <w:highlight w:val="none"/>
              </w:rPr>
            </w:pPr>
            <w:r>
              <w:rPr>
                <w:rFonts w:hint="eastAsia" w:ascii="宋体" w:hAnsi="宋体"/>
                <w:szCs w:val="21"/>
                <w:highlight w:val="none"/>
              </w:rPr>
              <w:t>黑豹</w:t>
            </w:r>
          </w:p>
          <w:p w14:paraId="6D95A156">
            <w:pPr>
              <w:jc w:val="center"/>
              <w:rPr>
                <w:rFonts w:ascii="宋体" w:hAnsi="宋体"/>
                <w:szCs w:val="21"/>
                <w:highlight w:val="none"/>
              </w:rPr>
            </w:pPr>
            <w:r>
              <w:rPr>
                <w:rFonts w:hint="eastAsia" w:ascii="宋体" w:hAnsi="宋体"/>
                <w:szCs w:val="21"/>
                <w:highlight w:val="none"/>
              </w:rPr>
              <w:t>东方雨虹</w:t>
            </w:r>
          </w:p>
          <w:p w14:paraId="747DA6F1">
            <w:pPr>
              <w:jc w:val="center"/>
              <w:rPr>
                <w:rFonts w:ascii="宋体" w:hAnsi="宋体"/>
                <w:szCs w:val="21"/>
                <w:highlight w:val="none"/>
              </w:rPr>
            </w:pPr>
            <w:r>
              <w:rPr>
                <w:rFonts w:hint="eastAsia" w:ascii="宋体" w:hAnsi="宋体"/>
                <w:szCs w:val="21"/>
                <w:highlight w:val="none"/>
              </w:rPr>
              <w:t>德高</w:t>
            </w:r>
          </w:p>
        </w:tc>
        <w:tc>
          <w:tcPr>
            <w:tcW w:w="1153" w:type="dxa"/>
            <w:vAlign w:val="center"/>
          </w:tcPr>
          <w:p w14:paraId="290455CB">
            <w:pPr>
              <w:jc w:val="center"/>
              <w:rPr>
                <w:highlight w:val="none"/>
              </w:rPr>
            </w:pPr>
            <w:r>
              <w:rPr>
                <w:rFonts w:hint="eastAsia" w:ascii="宋体" w:hAnsi="宋体"/>
                <w:szCs w:val="21"/>
                <w:highlight w:val="none"/>
              </w:rPr>
              <w:t>优等</w:t>
            </w:r>
          </w:p>
        </w:tc>
        <w:tc>
          <w:tcPr>
            <w:tcW w:w="1135" w:type="dxa"/>
            <w:vAlign w:val="center"/>
          </w:tcPr>
          <w:p w14:paraId="6312D300">
            <w:pPr>
              <w:jc w:val="center"/>
              <w:rPr>
                <w:highlight w:val="none"/>
              </w:rPr>
            </w:pPr>
            <w:r>
              <w:rPr>
                <w:rFonts w:hint="eastAsia"/>
                <w:highlight w:val="none"/>
              </w:rPr>
              <w:t>深圳</w:t>
            </w:r>
          </w:p>
          <w:p w14:paraId="402066D5">
            <w:pPr>
              <w:jc w:val="center"/>
              <w:rPr>
                <w:highlight w:val="none"/>
              </w:rPr>
            </w:pPr>
            <w:r>
              <w:rPr>
                <w:rFonts w:hint="eastAsia"/>
                <w:highlight w:val="none"/>
              </w:rPr>
              <w:t>北京</w:t>
            </w:r>
          </w:p>
          <w:p w14:paraId="2DE57CFB">
            <w:pPr>
              <w:jc w:val="center"/>
              <w:rPr>
                <w:highlight w:val="none"/>
              </w:rPr>
            </w:pPr>
            <w:r>
              <w:rPr>
                <w:rFonts w:hint="eastAsia"/>
                <w:highlight w:val="none"/>
              </w:rPr>
              <w:t>广州</w:t>
            </w:r>
          </w:p>
        </w:tc>
      </w:tr>
      <w:tr w14:paraId="048A3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35C5B947">
            <w:pPr>
              <w:jc w:val="center"/>
              <w:rPr>
                <w:rFonts w:ascii="宋体" w:hAnsi="宋体"/>
                <w:szCs w:val="21"/>
                <w:highlight w:val="none"/>
              </w:rPr>
            </w:pPr>
          </w:p>
        </w:tc>
        <w:tc>
          <w:tcPr>
            <w:tcW w:w="835" w:type="dxa"/>
            <w:vMerge w:val="continue"/>
            <w:vAlign w:val="center"/>
          </w:tcPr>
          <w:p w14:paraId="7FD7132D">
            <w:pPr>
              <w:jc w:val="center"/>
              <w:rPr>
                <w:rFonts w:ascii="宋体" w:hAnsi="宋体"/>
                <w:szCs w:val="21"/>
                <w:highlight w:val="none"/>
              </w:rPr>
            </w:pPr>
          </w:p>
        </w:tc>
        <w:tc>
          <w:tcPr>
            <w:tcW w:w="2411" w:type="dxa"/>
            <w:vAlign w:val="center"/>
          </w:tcPr>
          <w:p w14:paraId="35842C7A">
            <w:pPr>
              <w:jc w:val="center"/>
              <w:rPr>
                <w:rFonts w:ascii="宋体" w:hAnsi="宋体"/>
                <w:szCs w:val="21"/>
                <w:highlight w:val="none"/>
              </w:rPr>
            </w:pPr>
            <w:r>
              <w:rPr>
                <w:rFonts w:hint="eastAsia" w:ascii="宋体" w:hAnsi="宋体"/>
                <w:szCs w:val="21"/>
                <w:highlight w:val="none"/>
              </w:rPr>
              <w:t>玻璃间隔</w:t>
            </w:r>
          </w:p>
        </w:tc>
        <w:tc>
          <w:tcPr>
            <w:tcW w:w="1677" w:type="dxa"/>
            <w:vAlign w:val="center"/>
          </w:tcPr>
          <w:p w14:paraId="6E4F15F2">
            <w:pPr>
              <w:jc w:val="center"/>
              <w:rPr>
                <w:highlight w:val="none"/>
              </w:rPr>
            </w:pPr>
            <w:r>
              <w:rPr>
                <w:rFonts w:hint="eastAsia"/>
                <w:highlight w:val="none"/>
              </w:rPr>
              <w:t>按图</w:t>
            </w:r>
          </w:p>
        </w:tc>
        <w:tc>
          <w:tcPr>
            <w:tcW w:w="839" w:type="dxa"/>
            <w:vAlign w:val="center"/>
          </w:tcPr>
          <w:p w14:paraId="3D51ED91">
            <w:pPr>
              <w:jc w:val="center"/>
              <w:rPr>
                <w:highlight w:val="none"/>
              </w:rPr>
            </w:pPr>
            <w:r>
              <w:rPr>
                <w:rFonts w:hint="eastAsia"/>
                <w:highlight w:val="none"/>
              </w:rPr>
              <w:t>按图</w:t>
            </w:r>
          </w:p>
        </w:tc>
        <w:tc>
          <w:tcPr>
            <w:tcW w:w="1494" w:type="dxa"/>
            <w:vAlign w:val="center"/>
          </w:tcPr>
          <w:p w14:paraId="203189B2">
            <w:pPr>
              <w:jc w:val="center"/>
              <w:rPr>
                <w:rFonts w:ascii="宋体" w:hAnsi="宋体"/>
                <w:szCs w:val="21"/>
                <w:highlight w:val="none"/>
              </w:rPr>
            </w:pPr>
            <w:r>
              <w:rPr>
                <w:rFonts w:hint="eastAsia" w:ascii="宋体" w:hAnsi="宋体"/>
                <w:szCs w:val="21"/>
                <w:highlight w:val="none"/>
              </w:rPr>
              <w:t>宽铭</w:t>
            </w:r>
          </w:p>
          <w:p w14:paraId="4DC69A12">
            <w:pPr>
              <w:jc w:val="center"/>
              <w:rPr>
                <w:rFonts w:ascii="宋体" w:hAnsi="宋体"/>
                <w:szCs w:val="21"/>
                <w:highlight w:val="none"/>
              </w:rPr>
            </w:pPr>
            <w:r>
              <w:rPr>
                <w:rFonts w:hint="eastAsia" w:ascii="宋体" w:hAnsi="宋体"/>
                <w:szCs w:val="21"/>
                <w:highlight w:val="none"/>
              </w:rPr>
              <w:t>美科</w:t>
            </w:r>
          </w:p>
          <w:p w14:paraId="5553F10F">
            <w:pPr>
              <w:jc w:val="center"/>
              <w:rPr>
                <w:rFonts w:ascii="宋体" w:hAnsi="宋体"/>
                <w:szCs w:val="21"/>
                <w:highlight w:val="none"/>
              </w:rPr>
            </w:pPr>
            <w:r>
              <w:rPr>
                <w:rFonts w:hint="eastAsia" w:ascii="宋体" w:hAnsi="宋体"/>
                <w:szCs w:val="21"/>
                <w:highlight w:val="none"/>
              </w:rPr>
              <w:t>戴高</w:t>
            </w:r>
          </w:p>
          <w:p w14:paraId="2C7B2E57">
            <w:pPr>
              <w:jc w:val="center"/>
              <w:rPr>
                <w:rFonts w:ascii="宋体" w:hAnsi="宋体"/>
                <w:szCs w:val="21"/>
                <w:highlight w:val="none"/>
              </w:rPr>
            </w:pPr>
            <w:r>
              <w:rPr>
                <w:rFonts w:hint="eastAsia" w:ascii="宋体" w:hAnsi="宋体"/>
                <w:szCs w:val="21"/>
                <w:highlight w:val="none"/>
              </w:rPr>
              <w:t>赫莱斯</w:t>
            </w:r>
          </w:p>
        </w:tc>
        <w:tc>
          <w:tcPr>
            <w:tcW w:w="1153" w:type="dxa"/>
            <w:vAlign w:val="center"/>
          </w:tcPr>
          <w:p w14:paraId="21DFDDCD">
            <w:pPr>
              <w:jc w:val="center"/>
              <w:rPr>
                <w:highlight w:val="none"/>
              </w:rPr>
            </w:pPr>
            <w:r>
              <w:rPr>
                <w:rFonts w:hint="eastAsia" w:ascii="宋体" w:hAnsi="宋体"/>
                <w:szCs w:val="21"/>
                <w:highlight w:val="none"/>
              </w:rPr>
              <w:t>优等</w:t>
            </w:r>
          </w:p>
        </w:tc>
        <w:tc>
          <w:tcPr>
            <w:tcW w:w="1135" w:type="dxa"/>
            <w:vAlign w:val="center"/>
          </w:tcPr>
          <w:p w14:paraId="4E592436">
            <w:pPr>
              <w:jc w:val="center"/>
              <w:rPr>
                <w:highlight w:val="none"/>
              </w:rPr>
            </w:pPr>
            <w:r>
              <w:rPr>
                <w:rFonts w:hint="eastAsia" w:ascii="宋体" w:hAnsi="宋体"/>
                <w:szCs w:val="21"/>
                <w:highlight w:val="none"/>
              </w:rPr>
              <w:t>广东</w:t>
            </w:r>
          </w:p>
        </w:tc>
      </w:tr>
      <w:tr w14:paraId="666BD4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452B2010">
            <w:pPr>
              <w:jc w:val="center"/>
              <w:rPr>
                <w:rFonts w:ascii="宋体" w:hAnsi="宋体"/>
                <w:szCs w:val="21"/>
                <w:highlight w:val="none"/>
              </w:rPr>
            </w:pPr>
          </w:p>
        </w:tc>
        <w:tc>
          <w:tcPr>
            <w:tcW w:w="835" w:type="dxa"/>
            <w:vMerge w:val="continue"/>
            <w:vAlign w:val="center"/>
          </w:tcPr>
          <w:p w14:paraId="07F96914">
            <w:pPr>
              <w:jc w:val="center"/>
              <w:rPr>
                <w:rFonts w:ascii="宋体" w:hAnsi="宋体"/>
                <w:szCs w:val="21"/>
                <w:highlight w:val="none"/>
              </w:rPr>
            </w:pPr>
          </w:p>
        </w:tc>
        <w:tc>
          <w:tcPr>
            <w:tcW w:w="2411" w:type="dxa"/>
            <w:vAlign w:val="center"/>
          </w:tcPr>
          <w:p w14:paraId="7B08A80E">
            <w:pPr>
              <w:jc w:val="center"/>
              <w:rPr>
                <w:rFonts w:ascii="宋体" w:hAnsi="宋体"/>
                <w:szCs w:val="21"/>
                <w:highlight w:val="none"/>
              </w:rPr>
            </w:pPr>
            <w:r>
              <w:rPr>
                <w:rFonts w:hint="eastAsia" w:ascii="宋体" w:hAnsi="宋体"/>
                <w:szCs w:val="21"/>
                <w:highlight w:val="none"/>
              </w:rPr>
              <w:t>铝型材</w:t>
            </w:r>
          </w:p>
        </w:tc>
        <w:tc>
          <w:tcPr>
            <w:tcW w:w="1677" w:type="dxa"/>
            <w:vAlign w:val="center"/>
          </w:tcPr>
          <w:p w14:paraId="57F43333">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034C4DB0">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725C0C64">
            <w:pPr>
              <w:jc w:val="center"/>
              <w:rPr>
                <w:rFonts w:ascii="宋体" w:hAnsi="宋体"/>
                <w:szCs w:val="21"/>
                <w:highlight w:val="none"/>
              </w:rPr>
            </w:pPr>
            <w:r>
              <w:rPr>
                <w:rFonts w:hint="eastAsia" w:ascii="宋体" w:hAnsi="宋体"/>
                <w:szCs w:val="21"/>
                <w:highlight w:val="none"/>
              </w:rPr>
              <w:t>凤铝</w:t>
            </w:r>
          </w:p>
          <w:p w14:paraId="6177AB83">
            <w:pPr>
              <w:jc w:val="center"/>
              <w:rPr>
                <w:rFonts w:ascii="宋体" w:hAnsi="宋体"/>
                <w:szCs w:val="21"/>
                <w:highlight w:val="none"/>
              </w:rPr>
            </w:pPr>
            <w:r>
              <w:rPr>
                <w:rFonts w:hint="eastAsia" w:ascii="宋体" w:hAnsi="宋体"/>
                <w:szCs w:val="21"/>
                <w:highlight w:val="none"/>
              </w:rPr>
              <w:t>亚铝</w:t>
            </w:r>
          </w:p>
          <w:p w14:paraId="63749708">
            <w:pPr>
              <w:rPr>
                <w:rFonts w:ascii="宋体" w:hAnsi="宋体"/>
                <w:szCs w:val="21"/>
                <w:highlight w:val="none"/>
              </w:rPr>
            </w:pPr>
            <w:r>
              <w:rPr>
                <w:rFonts w:hint="eastAsia" w:ascii="宋体" w:hAnsi="宋体"/>
                <w:szCs w:val="21"/>
                <w:highlight w:val="none"/>
              </w:rPr>
              <w:t xml:space="preserve">    坚美</w:t>
            </w:r>
          </w:p>
        </w:tc>
        <w:tc>
          <w:tcPr>
            <w:tcW w:w="1153" w:type="dxa"/>
            <w:vAlign w:val="center"/>
          </w:tcPr>
          <w:p w14:paraId="6B3095B5">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48C2C831">
            <w:pPr>
              <w:jc w:val="center"/>
              <w:rPr>
                <w:rFonts w:ascii="宋体" w:hAnsi="宋体"/>
                <w:szCs w:val="21"/>
                <w:highlight w:val="none"/>
              </w:rPr>
            </w:pPr>
            <w:r>
              <w:rPr>
                <w:rFonts w:hint="eastAsia" w:ascii="宋体" w:hAnsi="宋体"/>
                <w:szCs w:val="21"/>
                <w:highlight w:val="none"/>
              </w:rPr>
              <w:t>佛山</w:t>
            </w:r>
          </w:p>
          <w:p w14:paraId="40113E14">
            <w:pPr>
              <w:jc w:val="center"/>
              <w:rPr>
                <w:rFonts w:ascii="宋体" w:hAnsi="宋体"/>
                <w:szCs w:val="21"/>
                <w:highlight w:val="none"/>
              </w:rPr>
            </w:pPr>
            <w:r>
              <w:rPr>
                <w:rFonts w:hint="eastAsia" w:ascii="宋体" w:hAnsi="宋体"/>
                <w:szCs w:val="21"/>
                <w:highlight w:val="none"/>
              </w:rPr>
              <w:t>肇庆</w:t>
            </w:r>
          </w:p>
          <w:p w14:paraId="417014E7">
            <w:pPr>
              <w:jc w:val="center"/>
              <w:rPr>
                <w:rFonts w:ascii="宋体" w:hAnsi="宋体"/>
                <w:szCs w:val="21"/>
                <w:highlight w:val="none"/>
              </w:rPr>
            </w:pPr>
            <w:r>
              <w:rPr>
                <w:rFonts w:hint="eastAsia" w:ascii="宋体" w:hAnsi="宋体"/>
                <w:szCs w:val="21"/>
                <w:highlight w:val="none"/>
              </w:rPr>
              <w:t>佛山</w:t>
            </w:r>
          </w:p>
        </w:tc>
      </w:tr>
      <w:tr w14:paraId="141BF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4B4D8B3F">
            <w:pPr>
              <w:jc w:val="center"/>
              <w:rPr>
                <w:rFonts w:ascii="宋体" w:hAnsi="宋体"/>
                <w:szCs w:val="21"/>
                <w:highlight w:val="none"/>
              </w:rPr>
            </w:pPr>
          </w:p>
        </w:tc>
        <w:tc>
          <w:tcPr>
            <w:tcW w:w="835" w:type="dxa"/>
            <w:vMerge w:val="continue"/>
            <w:vAlign w:val="center"/>
          </w:tcPr>
          <w:p w14:paraId="6230F0D5">
            <w:pPr>
              <w:jc w:val="center"/>
              <w:rPr>
                <w:rFonts w:ascii="宋体" w:hAnsi="宋体"/>
                <w:szCs w:val="21"/>
                <w:highlight w:val="none"/>
              </w:rPr>
            </w:pPr>
          </w:p>
        </w:tc>
        <w:tc>
          <w:tcPr>
            <w:tcW w:w="2411" w:type="dxa"/>
            <w:vAlign w:val="center"/>
          </w:tcPr>
          <w:p w14:paraId="041C8D0E">
            <w:pPr>
              <w:jc w:val="center"/>
              <w:rPr>
                <w:rFonts w:ascii="宋体" w:hAnsi="宋体"/>
                <w:szCs w:val="21"/>
                <w:highlight w:val="none"/>
              </w:rPr>
            </w:pPr>
            <w:r>
              <w:rPr>
                <w:rFonts w:hint="eastAsia" w:ascii="宋体" w:hAnsi="宋体"/>
                <w:szCs w:val="21"/>
                <w:highlight w:val="none"/>
              </w:rPr>
              <w:t>玻璃</w:t>
            </w:r>
          </w:p>
        </w:tc>
        <w:tc>
          <w:tcPr>
            <w:tcW w:w="1677" w:type="dxa"/>
            <w:vAlign w:val="center"/>
          </w:tcPr>
          <w:p w14:paraId="1585F9D9">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6B5B38CA">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748DB442">
            <w:pPr>
              <w:jc w:val="center"/>
              <w:rPr>
                <w:rFonts w:ascii="宋体" w:hAnsi="宋体"/>
                <w:szCs w:val="21"/>
                <w:highlight w:val="none"/>
              </w:rPr>
            </w:pPr>
            <w:r>
              <w:rPr>
                <w:rFonts w:hint="eastAsia" w:ascii="宋体" w:hAnsi="宋体"/>
                <w:szCs w:val="21"/>
                <w:highlight w:val="none"/>
              </w:rPr>
              <w:t>南玻</w:t>
            </w:r>
          </w:p>
          <w:p w14:paraId="773251F9">
            <w:pPr>
              <w:jc w:val="center"/>
              <w:rPr>
                <w:rFonts w:ascii="宋体" w:hAnsi="宋体"/>
                <w:szCs w:val="21"/>
                <w:highlight w:val="none"/>
              </w:rPr>
            </w:pPr>
            <w:r>
              <w:rPr>
                <w:rFonts w:hint="eastAsia" w:ascii="宋体" w:hAnsi="宋体"/>
                <w:szCs w:val="21"/>
                <w:highlight w:val="none"/>
              </w:rPr>
              <w:t>信义</w:t>
            </w:r>
          </w:p>
          <w:p w14:paraId="0796E56E">
            <w:pPr>
              <w:jc w:val="center"/>
              <w:rPr>
                <w:rFonts w:ascii="宋体" w:hAnsi="宋体"/>
                <w:szCs w:val="21"/>
                <w:highlight w:val="none"/>
              </w:rPr>
            </w:pPr>
            <w:r>
              <w:rPr>
                <w:rFonts w:hint="eastAsia" w:ascii="宋体" w:hAnsi="宋体"/>
                <w:szCs w:val="21"/>
                <w:highlight w:val="none"/>
              </w:rPr>
              <w:t>耀皮</w:t>
            </w:r>
          </w:p>
        </w:tc>
        <w:tc>
          <w:tcPr>
            <w:tcW w:w="1153" w:type="dxa"/>
            <w:vAlign w:val="center"/>
          </w:tcPr>
          <w:p w14:paraId="7F8BD835">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18DF5C3E">
            <w:pPr>
              <w:jc w:val="center"/>
              <w:rPr>
                <w:rFonts w:ascii="宋体" w:hAnsi="宋体"/>
                <w:szCs w:val="21"/>
                <w:highlight w:val="none"/>
              </w:rPr>
            </w:pPr>
            <w:r>
              <w:rPr>
                <w:rFonts w:hint="eastAsia" w:ascii="宋体" w:hAnsi="宋体"/>
                <w:szCs w:val="21"/>
                <w:highlight w:val="none"/>
              </w:rPr>
              <w:t>深圳</w:t>
            </w:r>
          </w:p>
          <w:p w14:paraId="7545400B">
            <w:pPr>
              <w:jc w:val="center"/>
              <w:rPr>
                <w:rFonts w:ascii="宋体" w:hAnsi="宋体"/>
                <w:szCs w:val="21"/>
                <w:highlight w:val="none"/>
              </w:rPr>
            </w:pPr>
            <w:r>
              <w:rPr>
                <w:rFonts w:hint="eastAsia" w:ascii="宋体" w:hAnsi="宋体"/>
                <w:szCs w:val="21"/>
                <w:highlight w:val="none"/>
              </w:rPr>
              <w:t>上海</w:t>
            </w:r>
          </w:p>
          <w:p w14:paraId="06BD3A73">
            <w:pPr>
              <w:jc w:val="center"/>
              <w:rPr>
                <w:rFonts w:ascii="宋体" w:hAnsi="宋体"/>
                <w:szCs w:val="21"/>
                <w:highlight w:val="none"/>
              </w:rPr>
            </w:pPr>
            <w:r>
              <w:rPr>
                <w:rFonts w:hint="eastAsia" w:ascii="宋体" w:hAnsi="宋体"/>
                <w:szCs w:val="21"/>
                <w:highlight w:val="none"/>
              </w:rPr>
              <w:t>福建</w:t>
            </w:r>
          </w:p>
        </w:tc>
      </w:tr>
      <w:tr w14:paraId="755E4C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6D6185D0">
            <w:pPr>
              <w:jc w:val="center"/>
              <w:rPr>
                <w:rFonts w:ascii="宋体" w:hAnsi="宋体"/>
                <w:szCs w:val="21"/>
                <w:highlight w:val="none"/>
              </w:rPr>
            </w:pPr>
          </w:p>
        </w:tc>
        <w:tc>
          <w:tcPr>
            <w:tcW w:w="835" w:type="dxa"/>
            <w:vMerge w:val="continue"/>
            <w:vAlign w:val="center"/>
          </w:tcPr>
          <w:p w14:paraId="2C487410">
            <w:pPr>
              <w:jc w:val="center"/>
              <w:rPr>
                <w:rFonts w:ascii="宋体" w:hAnsi="宋体"/>
                <w:szCs w:val="21"/>
                <w:highlight w:val="none"/>
              </w:rPr>
            </w:pPr>
          </w:p>
        </w:tc>
        <w:tc>
          <w:tcPr>
            <w:tcW w:w="2411" w:type="dxa"/>
            <w:vAlign w:val="center"/>
          </w:tcPr>
          <w:p w14:paraId="0C27D5A5">
            <w:pPr>
              <w:jc w:val="center"/>
              <w:rPr>
                <w:rFonts w:ascii="宋体" w:hAnsi="宋体"/>
                <w:szCs w:val="21"/>
                <w:highlight w:val="none"/>
              </w:rPr>
            </w:pPr>
            <w:r>
              <w:rPr>
                <w:rFonts w:hint="eastAsia" w:ascii="宋体" w:hAnsi="宋体"/>
                <w:szCs w:val="21"/>
                <w:highlight w:val="none"/>
              </w:rPr>
              <w:t>防火门</w:t>
            </w:r>
          </w:p>
        </w:tc>
        <w:tc>
          <w:tcPr>
            <w:tcW w:w="1677" w:type="dxa"/>
            <w:vAlign w:val="center"/>
          </w:tcPr>
          <w:p w14:paraId="3E5D8F4B">
            <w:pPr>
              <w:jc w:val="center"/>
              <w:rPr>
                <w:highlight w:val="none"/>
              </w:rPr>
            </w:pPr>
            <w:r>
              <w:rPr>
                <w:rFonts w:hint="eastAsia" w:ascii="宋体" w:hAnsi="宋体"/>
                <w:szCs w:val="21"/>
                <w:highlight w:val="none"/>
              </w:rPr>
              <w:t>按图</w:t>
            </w:r>
          </w:p>
        </w:tc>
        <w:tc>
          <w:tcPr>
            <w:tcW w:w="839" w:type="dxa"/>
            <w:vAlign w:val="center"/>
          </w:tcPr>
          <w:p w14:paraId="494A8E4F">
            <w:pPr>
              <w:jc w:val="center"/>
              <w:rPr>
                <w:highlight w:val="none"/>
              </w:rPr>
            </w:pPr>
            <w:r>
              <w:rPr>
                <w:rFonts w:hint="eastAsia" w:ascii="宋体" w:hAnsi="宋体"/>
                <w:szCs w:val="21"/>
                <w:highlight w:val="none"/>
              </w:rPr>
              <w:t>按图</w:t>
            </w:r>
          </w:p>
        </w:tc>
        <w:tc>
          <w:tcPr>
            <w:tcW w:w="1494" w:type="dxa"/>
            <w:vAlign w:val="center"/>
          </w:tcPr>
          <w:p w14:paraId="3A16CB97">
            <w:pPr>
              <w:ind w:firstLine="420" w:firstLineChars="200"/>
              <w:rPr>
                <w:rFonts w:ascii="宋体" w:hAnsi="宋体"/>
                <w:szCs w:val="21"/>
                <w:highlight w:val="none"/>
              </w:rPr>
            </w:pPr>
            <w:r>
              <w:rPr>
                <w:rFonts w:hint="eastAsia" w:ascii="宋体" w:hAnsi="宋体"/>
                <w:szCs w:val="21"/>
                <w:highlight w:val="none"/>
              </w:rPr>
              <w:t>蓝盾</w:t>
            </w:r>
          </w:p>
          <w:p w14:paraId="6C173D9A">
            <w:pPr>
              <w:jc w:val="center"/>
              <w:rPr>
                <w:rFonts w:ascii="宋体" w:hAnsi="宋体"/>
                <w:szCs w:val="21"/>
                <w:highlight w:val="none"/>
              </w:rPr>
            </w:pPr>
            <w:r>
              <w:rPr>
                <w:rFonts w:hint="eastAsia" w:ascii="宋体" w:hAnsi="宋体"/>
                <w:szCs w:val="21"/>
                <w:highlight w:val="none"/>
              </w:rPr>
              <w:t>永安</w:t>
            </w:r>
          </w:p>
          <w:p w14:paraId="1AB19907">
            <w:pPr>
              <w:jc w:val="center"/>
              <w:rPr>
                <w:rFonts w:ascii="宋体" w:hAnsi="宋体"/>
                <w:szCs w:val="21"/>
                <w:highlight w:val="none"/>
              </w:rPr>
            </w:pPr>
            <w:r>
              <w:rPr>
                <w:rFonts w:hint="eastAsia" w:ascii="宋体" w:hAnsi="宋体"/>
                <w:szCs w:val="21"/>
                <w:highlight w:val="none"/>
              </w:rPr>
              <w:t>南粤</w:t>
            </w:r>
          </w:p>
        </w:tc>
        <w:tc>
          <w:tcPr>
            <w:tcW w:w="1153" w:type="dxa"/>
            <w:vAlign w:val="center"/>
          </w:tcPr>
          <w:p w14:paraId="0C79A75E">
            <w:pPr>
              <w:jc w:val="center"/>
              <w:rPr>
                <w:highlight w:val="none"/>
              </w:rPr>
            </w:pPr>
            <w:r>
              <w:rPr>
                <w:rFonts w:hint="eastAsia" w:ascii="宋体" w:hAnsi="宋体"/>
                <w:szCs w:val="21"/>
                <w:highlight w:val="none"/>
              </w:rPr>
              <w:t>优等</w:t>
            </w:r>
          </w:p>
        </w:tc>
        <w:tc>
          <w:tcPr>
            <w:tcW w:w="1135" w:type="dxa"/>
            <w:vAlign w:val="center"/>
          </w:tcPr>
          <w:p w14:paraId="57B77919">
            <w:pPr>
              <w:jc w:val="center"/>
              <w:rPr>
                <w:rFonts w:ascii="宋体" w:hAnsi="宋体"/>
                <w:szCs w:val="21"/>
                <w:highlight w:val="none"/>
              </w:rPr>
            </w:pPr>
            <w:r>
              <w:rPr>
                <w:rFonts w:hint="eastAsia" w:ascii="宋体" w:hAnsi="宋体"/>
                <w:szCs w:val="21"/>
                <w:highlight w:val="none"/>
              </w:rPr>
              <w:t>深圳</w:t>
            </w:r>
          </w:p>
          <w:p w14:paraId="1BF22055">
            <w:pPr>
              <w:jc w:val="center"/>
              <w:rPr>
                <w:rFonts w:ascii="宋体" w:hAnsi="宋体"/>
                <w:szCs w:val="21"/>
                <w:highlight w:val="none"/>
              </w:rPr>
            </w:pPr>
            <w:r>
              <w:rPr>
                <w:rFonts w:hint="eastAsia" w:ascii="宋体" w:hAnsi="宋体"/>
                <w:szCs w:val="21"/>
                <w:highlight w:val="none"/>
              </w:rPr>
              <w:t>东莞</w:t>
            </w:r>
          </w:p>
          <w:p w14:paraId="6A3285E8">
            <w:pPr>
              <w:jc w:val="center"/>
              <w:rPr>
                <w:rFonts w:ascii="宋体" w:hAnsi="宋体"/>
                <w:szCs w:val="21"/>
                <w:highlight w:val="none"/>
              </w:rPr>
            </w:pPr>
            <w:r>
              <w:rPr>
                <w:rFonts w:hint="eastAsia" w:ascii="宋体" w:hAnsi="宋体"/>
                <w:szCs w:val="21"/>
                <w:highlight w:val="none"/>
              </w:rPr>
              <w:t>广州</w:t>
            </w:r>
          </w:p>
        </w:tc>
      </w:tr>
      <w:tr w14:paraId="66A88E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72B4FEB2">
            <w:pPr>
              <w:jc w:val="center"/>
              <w:rPr>
                <w:rFonts w:ascii="宋体" w:hAnsi="宋体"/>
                <w:szCs w:val="21"/>
                <w:highlight w:val="none"/>
              </w:rPr>
            </w:pPr>
          </w:p>
        </w:tc>
        <w:tc>
          <w:tcPr>
            <w:tcW w:w="835" w:type="dxa"/>
            <w:vMerge w:val="continue"/>
            <w:vAlign w:val="center"/>
          </w:tcPr>
          <w:p w14:paraId="638943CD">
            <w:pPr>
              <w:jc w:val="center"/>
              <w:rPr>
                <w:rFonts w:ascii="宋体" w:hAnsi="宋体"/>
                <w:szCs w:val="21"/>
                <w:highlight w:val="none"/>
              </w:rPr>
            </w:pPr>
          </w:p>
        </w:tc>
        <w:tc>
          <w:tcPr>
            <w:tcW w:w="2411" w:type="dxa"/>
            <w:vAlign w:val="center"/>
          </w:tcPr>
          <w:p w14:paraId="75AE2BD5">
            <w:pPr>
              <w:jc w:val="center"/>
              <w:rPr>
                <w:rFonts w:ascii="宋体" w:hAnsi="宋体"/>
                <w:szCs w:val="21"/>
                <w:highlight w:val="none"/>
              </w:rPr>
            </w:pPr>
            <w:r>
              <w:rPr>
                <w:rFonts w:hint="eastAsia" w:ascii="宋体" w:hAnsi="宋体"/>
                <w:szCs w:val="21"/>
                <w:highlight w:val="none"/>
              </w:rPr>
              <w:t>铝单板、蜂窝板</w:t>
            </w:r>
          </w:p>
        </w:tc>
        <w:tc>
          <w:tcPr>
            <w:tcW w:w="1677" w:type="dxa"/>
            <w:vAlign w:val="center"/>
          </w:tcPr>
          <w:p w14:paraId="0760C8E2">
            <w:pPr>
              <w:jc w:val="center"/>
              <w:rPr>
                <w:highlight w:val="none"/>
              </w:rPr>
            </w:pPr>
            <w:r>
              <w:rPr>
                <w:rFonts w:hint="eastAsia" w:ascii="宋体" w:hAnsi="宋体"/>
                <w:szCs w:val="21"/>
                <w:highlight w:val="none"/>
              </w:rPr>
              <w:t>按图</w:t>
            </w:r>
          </w:p>
        </w:tc>
        <w:tc>
          <w:tcPr>
            <w:tcW w:w="839" w:type="dxa"/>
            <w:vAlign w:val="center"/>
          </w:tcPr>
          <w:p w14:paraId="4820565A">
            <w:pPr>
              <w:jc w:val="center"/>
              <w:rPr>
                <w:highlight w:val="none"/>
              </w:rPr>
            </w:pPr>
            <w:r>
              <w:rPr>
                <w:rFonts w:hint="eastAsia" w:ascii="宋体" w:hAnsi="宋体"/>
                <w:szCs w:val="21"/>
                <w:highlight w:val="none"/>
              </w:rPr>
              <w:t>按图</w:t>
            </w:r>
          </w:p>
        </w:tc>
        <w:tc>
          <w:tcPr>
            <w:tcW w:w="1494" w:type="dxa"/>
            <w:vAlign w:val="center"/>
          </w:tcPr>
          <w:p w14:paraId="429B2A70">
            <w:pPr>
              <w:jc w:val="center"/>
              <w:rPr>
                <w:rFonts w:ascii="宋体" w:hAnsi="宋体"/>
                <w:szCs w:val="21"/>
                <w:highlight w:val="none"/>
              </w:rPr>
            </w:pPr>
            <w:r>
              <w:rPr>
                <w:rFonts w:hint="eastAsia" w:ascii="宋体" w:hAnsi="宋体"/>
                <w:szCs w:val="21"/>
                <w:highlight w:val="none"/>
              </w:rPr>
              <w:t>拓普泰德</w:t>
            </w:r>
          </w:p>
          <w:p w14:paraId="037C0A22">
            <w:pPr>
              <w:jc w:val="center"/>
              <w:rPr>
                <w:rFonts w:ascii="宋体" w:hAnsi="宋体"/>
                <w:szCs w:val="21"/>
                <w:highlight w:val="none"/>
              </w:rPr>
            </w:pPr>
            <w:r>
              <w:rPr>
                <w:rFonts w:hint="eastAsia" w:ascii="宋体" w:hAnsi="宋体"/>
                <w:szCs w:val="21"/>
                <w:highlight w:val="none"/>
              </w:rPr>
              <w:t>迪高</w:t>
            </w:r>
          </w:p>
          <w:p w14:paraId="6F046FDE">
            <w:pPr>
              <w:jc w:val="center"/>
              <w:rPr>
                <w:rFonts w:ascii="宋体" w:hAnsi="宋体"/>
                <w:szCs w:val="21"/>
                <w:highlight w:val="none"/>
              </w:rPr>
            </w:pPr>
            <w:r>
              <w:rPr>
                <w:rFonts w:hint="eastAsia" w:ascii="宋体" w:hAnsi="宋体"/>
                <w:szCs w:val="21"/>
                <w:highlight w:val="none"/>
              </w:rPr>
              <w:t>美伦</w:t>
            </w:r>
          </w:p>
        </w:tc>
        <w:tc>
          <w:tcPr>
            <w:tcW w:w="1153" w:type="dxa"/>
            <w:vAlign w:val="center"/>
          </w:tcPr>
          <w:p w14:paraId="4D2DAE2C">
            <w:pPr>
              <w:jc w:val="center"/>
              <w:rPr>
                <w:highlight w:val="none"/>
              </w:rPr>
            </w:pPr>
            <w:r>
              <w:rPr>
                <w:rFonts w:hint="eastAsia" w:ascii="宋体" w:hAnsi="宋体"/>
                <w:szCs w:val="21"/>
                <w:highlight w:val="none"/>
              </w:rPr>
              <w:t>优等</w:t>
            </w:r>
          </w:p>
        </w:tc>
        <w:tc>
          <w:tcPr>
            <w:tcW w:w="1135" w:type="dxa"/>
            <w:vAlign w:val="center"/>
          </w:tcPr>
          <w:p w14:paraId="4116B6BE">
            <w:pPr>
              <w:jc w:val="center"/>
              <w:rPr>
                <w:highlight w:val="none"/>
              </w:rPr>
            </w:pPr>
            <w:r>
              <w:rPr>
                <w:rFonts w:hint="eastAsia"/>
                <w:highlight w:val="none"/>
              </w:rPr>
              <w:t>广东</w:t>
            </w:r>
          </w:p>
        </w:tc>
      </w:tr>
      <w:tr w14:paraId="6F01A6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43B42B4C">
            <w:pPr>
              <w:jc w:val="center"/>
              <w:rPr>
                <w:rFonts w:ascii="宋体" w:hAnsi="宋体"/>
                <w:szCs w:val="21"/>
                <w:highlight w:val="none"/>
              </w:rPr>
            </w:pPr>
          </w:p>
        </w:tc>
        <w:tc>
          <w:tcPr>
            <w:tcW w:w="835" w:type="dxa"/>
            <w:vMerge w:val="continue"/>
            <w:vAlign w:val="center"/>
          </w:tcPr>
          <w:p w14:paraId="72EEF922">
            <w:pPr>
              <w:jc w:val="center"/>
              <w:rPr>
                <w:rFonts w:ascii="宋体" w:hAnsi="宋体"/>
                <w:szCs w:val="21"/>
                <w:highlight w:val="none"/>
              </w:rPr>
            </w:pPr>
          </w:p>
        </w:tc>
        <w:tc>
          <w:tcPr>
            <w:tcW w:w="2411" w:type="dxa"/>
            <w:vAlign w:val="center"/>
          </w:tcPr>
          <w:p w14:paraId="53FE36D1">
            <w:pPr>
              <w:jc w:val="center"/>
              <w:rPr>
                <w:rFonts w:ascii="宋体" w:hAnsi="宋体"/>
                <w:szCs w:val="21"/>
                <w:highlight w:val="none"/>
              </w:rPr>
            </w:pPr>
            <w:r>
              <w:rPr>
                <w:rFonts w:hint="eastAsia" w:ascii="宋体" w:hAnsi="宋体"/>
                <w:szCs w:val="21"/>
                <w:highlight w:val="none"/>
              </w:rPr>
              <w:t>石膏板</w:t>
            </w:r>
          </w:p>
        </w:tc>
        <w:tc>
          <w:tcPr>
            <w:tcW w:w="1677" w:type="dxa"/>
            <w:vAlign w:val="center"/>
          </w:tcPr>
          <w:p w14:paraId="1EBB471F">
            <w:pPr>
              <w:jc w:val="center"/>
              <w:rPr>
                <w:highlight w:val="none"/>
              </w:rPr>
            </w:pPr>
            <w:r>
              <w:rPr>
                <w:rFonts w:hint="eastAsia" w:ascii="宋体" w:hAnsi="宋体"/>
                <w:szCs w:val="21"/>
                <w:highlight w:val="none"/>
              </w:rPr>
              <w:t>按图</w:t>
            </w:r>
          </w:p>
        </w:tc>
        <w:tc>
          <w:tcPr>
            <w:tcW w:w="839" w:type="dxa"/>
            <w:vAlign w:val="center"/>
          </w:tcPr>
          <w:p w14:paraId="5E18C560">
            <w:pPr>
              <w:jc w:val="center"/>
              <w:rPr>
                <w:highlight w:val="none"/>
              </w:rPr>
            </w:pPr>
            <w:r>
              <w:rPr>
                <w:rFonts w:hint="eastAsia" w:ascii="宋体" w:hAnsi="宋体"/>
                <w:szCs w:val="21"/>
                <w:highlight w:val="none"/>
              </w:rPr>
              <w:t>按图</w:t>
            </w:r>
          </w:p>
        </w:tc>
        <w:tc>
          <w:tcPr>
            <w:tcW w:w="1494" w:type="dxa"/>
            <w:vAlign w:val="center"/>
          </w:tcPr>
          <w:p w14:paraId="5C933E61">
            <w:pPr>
              <w:jc w:val="center"/>
              <w:rPr>
                <w:rFonts w:ascii="宋体" w:hAnsi="宋体"/>
                <w:szCs w:val="21"/>
                <w:highlight w:val="none"/>
              </w:rPr>
            </w:pPr>
            <w:r>
              <w:rPr>
                <w:rFonts w:hint="eastAsia" w:ascii="宋体" w:hAnsi="宋体"/>
                <w:szCs w:val="21"/>
                <w:highlight w:val="none"/>
              </w:rPr>
              <w:t>可耐福</w:t>
            </w:r>
          </w:p>
          <w:p w14:paraId="623C80EC">
            <w:pPr>
              <w:jc w:val="center"/>
              <w:rPr>
                <w:rFonts w:ascii="宋体" w:hAnsi="宋体"/>
                <w:szCs w:val="21"/>
                <w:highlight w:val="none"/>
              </w:rPr>
            </w:pPr>
            <w:r>
              <w:rPr>
                <w:rFonts w:hint="eastAsia" w:ascii="宋体" w:hAnsi="宋体"/>
                <w:szCs w:val="21"/>
                <w:highlight w:val="none"/>
              </w:rPr>
              <w:t>龙牌</w:t>
            </w:r>
          </w:p>
          <w:p w14:paraId="7019A4E3">
            <w:pPr>
              <w:jc w:val="center"/>
              <w:rPr>
                <w:rFonts w:ascii="宋体" w:hAnsi="宋体"/>
                <w:szCs w:val="21"/>
                <w:highlight w:val="none"/>
              </w:rPr>
            </w:pPr>
            <w:r>
              <w:rPr>
                <w:rFonts w:hint="eastAsia" w:ascii="宋体" w:hAnsi="宋体"/>
                <w:szCs w:val="21"/>
                <w:highlight w:val="none"/>
              </w:rPr>
              <w:t>拉法基</w:t>
            </w:r>
          </w:p>
        </w:tc>
        <w:tc>
          <w:tcPr>
            <w:tcW w:w="1153" w:type="dxa"/>
            <w:vAlign w:val="center"/>
          </w:tcPr>
          <w:p w14:paraId="5BCDA626">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47EBDE81">
            <w:pPr>
              <w:jc w:val="center"/>
              <w:rPr>
                <w:rFonts w:ascii="宋体" w:hAnsi="宋体"/>
                <w:szCs w:val="21"/>
                <w:highlight w:val="none"/>
              </w:rPr>
            </w:pPr>
            <w:r>
              <w:rPr>
                <w:rFonts w:hint="eastAsia" w:ascii="宋体" w:hAnsi="宋体"/>
                <w:szCs w:val="21"/>
                <w:highlight w:val="none"/>
              </w:rPr>
              <w:t>合资</w:t>
            </w:r>
          </w:p>
          <w:p w14:paraId="44C359B3">
            <w:pPr>
              <w:jc w:val="center"/>
              <w:rPr>
                <w:rFonts w:ascii="宋体" w:hAnsi="宋体"/>
                <w:szCs w:val="21"/>
                <w:highlight w:val="none"/>
              </w:rPr>
            </w:pPr>
            <w:r>
              <w:rPr>
                <w:rFonts w:hint="eastAsia" w:ascii="宋体" w:hAnsi="宋体"/>
                <w:szCs w:val="21"/>
                <w:highlight w:val="none"/>
              </w:rPr>
              <w:t>北京</w:t>
            </w:r>
          </w:p>
          <w:p w14:paraId="756A4F05">
            <w:pPr>
              <w:jc w:val="center"/>
              <w:rPr>
                <w:rFonts w:ascii="宋体" w:hAnsi="宋体"/>
                <w:szCs w:val="21"/>
                <w:highlight w:val="none"/>
              </w:rPr>
            </w:pPr>
            <w:r>
              <w:rPr>
                <w:rFonts w:hint="eastAsia" w:ascii="宋体" w:hAnsi="宋体"/>
                <w:szCs w:val="21"/>
                <w:highlight w:val="none"/>
              </w:rPr>
              <w:t>合资</w:t>
            </w:r>
          </w:p>
        </w:tc>
      </w:tr>
      <w:tr w14:paraId="71BE90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6BC21A4E">
            <w:pPr>
              <w:jc w:val="center"/>
              <w:rPr>
                <w:rFonts w:ascii="宋体" w:hAnsi="宋体"/>
                <w:szCs w:val="21"/>
                <w:highlight w:val="none"/>
              </w:rPr>
            </w:pPr>
          </w:p>
        </w:tc>
        <w:tc>
          <w:tcPr>
            <w:tcW w:w="835" w:type="dxa"/>
            <w:vMerge w:val="continue"/>
            <w:vAlign w:val="center"/>
          </w:tcPr>
          <w:p w14:paraId="1E5F50C4">
            <w:pPr>
              <w:jc w:val="center"/>
              <w:rPr>
                <w:rFonts w:ascii="宋体" w:hAnsi="宋体"/>
                <w:szCs w:val="21"/>
                <w:highlight w:val="none"/>
              </w:rPr>
            </w:pPr>
          </w:p>
        </w:tc>
        <w:tc>
          <w:tcPr>
            <w:tcW w:w="2411" w:type="dxa"/>
            <w:vAlign w:val="center"/>
          </w:tcPr>
          <w:p w14:paraId="548387D6">
            <w:pPr>
              <w:jc w:val="center"/>
              <w:rPr>
                <w:rFonts w:ascii="宋体" w:hAnsi="宋体"/>
                <w:szCs w:val="21"/>
                <w:highlight w:val="none"/>
              </w:rPr>
            </w:pPr>
            <w:r>
              <w:rPr>
                <w:rFonts w:hint="eastAsia" w:ascii="宋体" w:hAnsi="宋体"/>
                <w:szCs w:val="21"/>
                <w:highlight w:val="none"/>
              </w:rPr>
              <w:t>埃特板</w:t>
            </w:r>
          </w:p>
        </w:tc>
        <w:tc>
          <w:tcPr>
            <w:tcW w:w="1677" w:type="dxa"/>
            <w:vAlign w:val="center"/>
          </w:tcPr>
          <w:p w14:paraId="67CD7743">
            <w:pPr>
              <w:jc w:val="center"/>
              <w:rPr>
                <w:highlight w:val="none"/>
              </w:rPr>
            </w:pPr>
            <w:r>
              <w:rPr>
                <w:rFonts w:hint="eastAsia" w:ascii="宋体" w:hAnsi="宋体"/>
                <w:szCs w:val="21"/>
                <w:highlight w:val="none"/>
              </w:rPr>
              <w:t>按图</w:t>
            </w:r>
          </w:p>
        </w:tc>
        <w:tc>
          <w:tcPr>
            <w:tcW w:w="839" w:type="dxa"/>
            <w:vAlign w:val="center"/>
          </w:tcPr>
          <w:p w14:paraId="397C03FF">
            <w:pPr>
              <w:jc w:val="center"/>
              <w:rPr>
                <w:highlight w:val="none"/>
              </w:rPr>
            </w:pPr>
            <w:r>
              <w:rPr>
                <w:rFonts w:hint="eastAsia" w:ascii="宋体" w:hAnsi="宋体"/>
                <w:szCs w:val="21"/>
                <w:highlight w:val="none"/>
              </w:rPr>
              <w:t>按图</w:t>
            </w:r>
          </w:p>
        </w:tc>
        <w:tc>
          <w:tcPr>
            <w:tcW w:w="1494" w:type="dxa"/>
            <w:vAlign w:val="center"/>
          </w:tcPr>
          <w:p w14:paraId="728D11A2">
            <w:pPr>
              <w:jc w:val="center"/>
              <w:rPr>
                <w:rFonts w:ascii="宋体" w:hAnsi="宋体"/>
                <w:szCs w:val="21"/>
                <w:highlight w:val="none"/>
              </w:rPr>
            </w:pPr>
            <w:r>
              <w:rPr>
                <w:rFonts w:hint="eastAsia" w:ascii="宋体" w:hAnsi="宋体"/>
                <w:szCs w:val="21"/>
                <w:highlight w:val="none"/>
              </w:rPr>
              <w:t>大地木业</w:t>
            </w:r>
          </w:p>
          <w:p w14:paraId="3714ABE7">
            <w:pPr>
              <w:jc w:val="center"/>
              <w:rPr>
                <w:rFonts w:ascii="宋体" w:hAnsi="宋体"/>
                <w:szCs w:val="21"/>
                <w:highlight w:val="none"/>
              </w:rPr>
            </w:pPr>
            <w:r>
              <w:rPr>
                <w:rFonts w:hint="eastAsia" w:ascii="宋体" w:hAnsi="宋体"/>
                <w:szCs w:val="21"/>
                <w:highlight w:val="none"/>
              </w:rPr>
              <w:t>和明木业</w:t>
            </w:r>
          </w:p>
          <w:p w14:paraId="41BE27B1">
            <w:pPr>
              <w:jc w:val="center"/>
              <w:rPr>
                <w:rFonts w:ascii="宋体" w:hAnsi="宋体"/>
                <w:szCs w:val="21"/>
                <w:highlight w:val="none"/>
              </w:rPr>
            </w:pPr>
            <w:r>
              <w:rPr>
                <w:rFonts w:hint="eastAsia" w:ascii="宋体" w:hAnsi="宋体"/>
                <w:szCs w:val="21"/>
                <w:highlight w:val="none"/>
              </w:rPr>
              <w:t>联合木业</w:t>
            </w:r>
          </w:p>
        </w:tc>
        <w:tc>
          <w:tcPr>
            <w:tcW w:w="1153" w:type="dxa"/>
            <w:vAlign w:val="center"/>
          </w:tcPr>
          <w:p w14:paraId="33577FBF">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6F8ED0AE">
            <w:pPr>
              <w:jc w:val="center"/>
              <w:rPr>
                <w:rFonts w:ascii="宋体" w:hAnsi="宋体"/>
                <w:szCs w:val="21"/>
                <w:highlight w:val="none"/>
              </w:rPr>
            </w:pPr>
            <w:r>
              <w:rPr>
                <w:rFonts w:hint="eastAsia" w:ascii="宋体" w:hAnsi="宋体"/>
                <w:szCs w:val="21"/>
                <w:highlight w:val="none"/>
              </w:rPr>
              <w:t>河北</w:t>
            </w:r>
          </w:p>
          <w:p w14:paraId="5763B963">
            <w:pPr>
              <w:jc w:val="center"/>
              <w:rPr>
                <w:rFonts w:ascii="宋体" w:hAnsi="宋体"/>
                <w:szCs w:val="21"/>
                <w:highlight w:val="none"/>
              </w:rPr>
            </w:pPr>
            <w:r>
              <w:rPr>
                <w:rFonts w:hint="eastAsia" w:ascii="宋体" w:hAnsi="宋体"/>
                <w:szCs w:val="21"/>
                <w:highlight w:val="none"/>
              </w:rPr>
              <w:t>福建</w:t>
            </w:r>
          </w:p>
          <w:p w14:paraId="184ACAE8">
            <w:pPr>
              <w:jc w:val="center"/>
              <w:rPr>
                <w:rFonts w:ascii="宋体" w:hAnsi="宋体"/>
                <w:szCs w:val="21"/>
                <w:highlight w:val="none"/>
              </w:rPr>
            </w:pPr>
            <w:r>
              <w:rPr>
                <w:rFonts w:hint="eastAsia" w:ascii="宋体" w:hAnsi="宋体"/>
                <w:szCs w:val="21"/>
                <w:highlight w:val="none"/>
              </w:rPr>
              <w:t>河北</w:t>
            </w:r>
          </w:p>
        </w:tc>
      </w:tr>
      <w:tr w14:paraId="4AFD38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2877CC52">
            <w:pPr>
              <w:jc w:val="center"/>
              <w:rPr>
                <w:rFonts w:ascii="宋体" w:hAnsi="宋体"/>
                <w:szCs w:val="21"/>
                <w:highlight w:val="none"/>
              </w:rPr>
            </w:pPr>
          </w:p>
        </w:tc>
        <w:tc>
          <w:tcPr>
            <w:tcW w:w="835" w:type="dxa"/>
            <w:vMerge w:val="continue"/>
            <w:vAlign w:val="center"/>
          </w:tcPr>
          <w:p w14:paraId="3BD5E709">
            <w:pPr>
              <w:jc w:val="center"/>
              <w:rPr>
                <w:rFonts w:ascii="宋体" w:hAnsi="宋体"/>
                <w:szCs w:val="21"/>
                <w:highlight w:val="none"/>
              </w:rPr>
            </w:pPr>
          </w:p>
        </w:tc>
        <w:tc>
          <w:tcPr>
            <w:tcW w:w="2411" w:type="dxa"/>
            <w:vAlign w:val="center"/>
          </w:tcPr>
          <w:p w14:paraId="339BFA14">
            <w:pPr>
              <w:jc w:val="center"/>
              <w:rPr>
                <w:rFonts w:ascii="宋体" w:hAnsi="宋体"/>
                <w:szCs w:val="21"/>
                <w:highlight w:val="none"/>
              </w:rPr>
            </w:pPr>
            <w:r>
              <w:rPr>
                <w:rFonts w:hint="eastAsia" w:ascii="宋体" w:hAnsi="宋体"/>
                <w:szCs w:val="21"/>
                <w:highlight w:val="none"/>
              </w:rPr>
              <w:t>阻燃夹板</w:t>
            </w:r>
          </w:p>
        </w:tc>
        <w:tc>
          <w:tcPr>
            <w:tcW w:w="1677" w:type="dxa"/>
            <w:vAlign w:val="center"/>
          </w:tcPr>
          <w:p w14:paraId="1E624F1E">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4C2BE650">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5A9E9C3D">
            <w:pPr>
              <w:jc w:val="center"/>
              <w:rPr>
                <w:rFonts w:ascii="宋体" w:hAnsi="宋体"/>
                <w:szCs w:val="21"/>
                <w:highlight w:val="none"/>
              </w:rPr>
            </w:pPr>
            <w:r>
              <w:rPr>
                <w:rFonts w:hint="eastAsia" w:ascii="宋体" w:hAnsi="宋体"/>
                <w:szCs w:val="21"/>
                <w:highlight w:val="none"/>
              </w:rPr>
              <w:t>伟业</w:t>
            </w:r>
          </w:p>
          <w:p w14:paraId="37F5E4D9">
            <w:pPr>
              <w:jc w:val="center"/>
              <w:rPr>
                <w:rFonts w:ascii="宋体" w:hAnsi="宋体"/>
                <w:szCs w:val="21"/>
                <w:highlight w:val="none"/>
              </w:rPr>
            </w:pPr>
            <w:r>
              <w:rPr>
                <w:rFonts w:hint="eastAsia" w:ascii="宋体" w:hAnsi="宋体"/>
                <w:szCs w:val="21"/>
                <w:highlight w:val="none"/>
              </w:rPr>
              <w:t>益利安</w:t>
            </w:r>
          </w:p>
          <w:p w14:paraId="34CCDCAB">
            <w:pPr>
              <w:jc w:val="center"/>
              <w:rPr>
                <w:rFonts w:ascii="宋体" w:hAnsi="宋体"/>
                <w:szCs w:val="21"/>
                <w:highlight w:val="none"/>
              </w:rPr>
            </w:pPr>
            <w:r>
              <w:rPr>
                <w:rFonts w:hint="eastAsia" w:ascii="宋体" w:hAnsi="宋体"/>
                <w:szCs w:val="21"/>
                <w:highlight w:val="none"/>
              </w:rPr>
              <w:t>兔宝宝</w:t>
            </w:r>
          </w:p>
          <w:p w14:paraId="3CB3D252">
            <w:pPr>
              <w:jc w:val="center"/>
              <w:rPr>
                <w:rFonts w:ascii="宋体" w:hAnsi="宋体"/>
                <w:szCs w:val="21"/>
                <w:highlight w:val="none"/>
              </w:rPr>
            </w:pPr>
            <w:r>
              <w:rPr>
                <w:rFonts w:hint="eastAsia" w:ascii="宋体" w:hAnsi="宋体"/>
                <w:szCs w:val="21"/>
                <w:highlight w:val="none"/>
              </w:rPr>
              <w:t>富美家</w:t>
            </w:r>
          </w:p>
        </w:tc>
        <w:tc>
          <w:tcPr>
            <w:tcW w:w="1153" w:type="dxa"/>
            <w:vAlign w:val="center"/>
          </w:tcPr>
          <w:p w14:paraId="213E5221">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0EC1D826">
            <w:pPr>
              <w:jc w:val="center"/>
              <w:rPr>
                <w:rFonts w:ascii="宋体" w:hAnsi="宋体"/>
                <w:szCs w:val="21"/>
                <w:highlight w:val="none"/>
              </w:rPr>
            </w:pPr>
            <w:r>
              <w:rPr>
                <w:rFonts w:hint="eastAsia" w:ascii="宋体" w:hAnsi="宋体"/>
                <w:szCs w:val="21"/>
                <w:highlight w:val="none"/>
              </w:rPr>
              <w:t>广州</w:t>
            </w:r>
          </w:p>
          <w:p w14:paraId="47F2EEEC">
            <w:pPr>
              <w:jc w:val="center"/>
              <w:rPr>
                <w:rFonts w:ascii="宋体" w:hAnsi="宋体"/>
                <w:szCs w:val="21"/>
                <w:highlight w:val="none"/>
              </w:rPr>
            </w:pPr>
            <w:r>
              <w:rPr>
                <w:rFonts w:hint="eastAsia" w:ascii="宋体" w:hAnsi="宋体"/>
                <w:szCs w:val="21"/>
                <w:highlight w:val="none"/>
              </w:rPr>
              <w:t>佛山</w:t>
            </w:r>
          </w:p>
          <w:p w14:paraId="0CEAFC0F">
            <w:pPr>
              <w:jc w:val="center"/>
              <w:rPr>
                <w:rFonts w:ascii="宋体" w:hAnsi="宋体"/>
                <w:szCs w:val="21"/>
                <w:highlight w:val="none"/>
              </w:rPr>
            </w:pPr>
            <w:r>
              <w:rPr>
                <w:rFonts w:hint="eastAsia" w:ascii="宋体" w:hAnsi="宋体"/>
                <w:szCs w:val="21"/>
                <w:highlight w:val="none"/>
              </w:rPr>
              <w:t>北京</w:t>
            </w:r>
          </w:p>
          <w:p w14:paraId="0CD9AB21">
            <w:pPr>
              <w:jc w:val="center"/>
              <w:rPr>
                <w:rFonts w:ascii="宋体" w:hAnsi="宋体"/>
                <w:szCs w:val="21"/>
                <w:highlight w:val="none"/>
              </w:rPr>
            </w:pPr>
            <w:r>
              <w:rPr>
                <w:rFonts w:hint="eastAsia" w:ascii="宋体" w:hAnsi="宋体"/>
                <w:szCs w:val="21"/>
                <w:highlight w:val="none"/>
              </w:rPr>
              <w:t>东莞</w:t>
            </w:r>
          </w:p>
        </w:tc>
      </w:tr>
      <w:tr w14:paraId="6AB87F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4FB726C5">
            <w:pPr>
              <w:jc w:val="center"/>
              <w:rPr>
                <w:rFonts w:ascii="宋体" w:hAnsi="宋体"/>
                <w:szCs w:val="21"/>
                <w:highlight w:val="none"/>
              </w:rPr>
            </w:pPr>
          </w:p>
        </w:tc>
        <w:tc>
          <w:tcPr>
            <w:tcW w:w="835" w:type="dxa"/>
            <w:vMerge w:val="continue"/>
            <w:vAlign w:val="center"/>
          </w:tcPr>
          <w:p w14:paraId="0DCA0392">
            <w:pPr>
              <w:jc w:val="center"/>
              <w:rPr>
                <w:rFonts w:ascii="宋体" w:hAnsi="宋体"/>
                <w:szCs w:val="21"/>
                <w:highlight w:val="none"/>
              </w:rPr>
            </w:pPr>
          </w:p>
        </w:tc>
        <w:tc>
          <w:tcPr>
            <w:tcW w:w="2411" w:type="dxa"/>
            <w:vAlign w:val="center"/>
          </w:tcPr>
          <w:p w14:paraId="695056C1">
            <w:pPr>
              <w:jc w:val="center"/>
              <w:rPr>
                <w:rFonts w:ascii="宋体" w:hAnsi="宋体"/>
                <w:szCs w:val="21"/>
                <w:highlight w:val="none"/>
              </w:rPr>
            </w:pPr>
            <w:r>
              <w:rPr>
                <w:rFonts w:hint="eastAsia" w:ascii="宋体" w:hAnsi="宋体"/>
                <w:szCs w:val="21"/>
                <w:highlight w:val="none"/>
              </w:rPr>
              <w:t>饰面板</w:t>
            </w:r>
          </w:p>
        </w:tc>
        <w:tc>
          <w:tcPr>
            <w:tcW w:w="1677" w:type="dxa"/>
            <w:vAlign w:val="center"/>
          </w:tcPr>
          <w:p w14:paraId="7A691831">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42B2BCF0">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4821DF74">
            <w:pPr>
              <w:jc w:val="center"/>
              <w:rPr>
                <w:rFonts w:ascii="宋体" w:hAnsi="宋体"/>
                <w:szCs w:val="21"/>
                <w:highlight w:val="none"/>
              </w:rPr>
            </w:pPr>
            <w:r>
              <w:rPr>
                <w:rFonts w:hint="eastAsia" w:ascii="宋体" w:hAnsi="宋体"/>
                <w:szCs w:val="21"/>
                <w:highlight w:val="none"/>
              </w:rPr>
              <w:t>雅美家</w:t>
            </w:r>
          </w:p>
          <w:p w14:paraId="7D93910E">
            <w:pPr>
              <w:jc w:val="center"/>
              <w:rPr>
                <w:rFonts w:ascii="宋体" w:hAnsi="宋体"/>
                <w:szCs w:val="21"/>
                <w:highlight w:val="none"/>
              </w:rPr>
            </w:pPr>
            <w:r>
              <w:rPr>
                <w:rFonts w:hint="eastAsia" w:ascii="宋体" w:hAnsi="宋体"/>
                <w:szCs w:val="21"/>
                <w:highlight w:val="none"/>
              </w:rPr>
              <w:t>福美家</w:t>
            </w:r>
          </w:p>
        </w:tc>
        <w:tc>
          <w:tcPr>
            <w:tcW w:w="1153" w:type="dxa"/>
            <w:vAlign w:val="center"/>
          </w:tcPr>
          <w:p w14:paraId="35AC322C">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3CC067ED">
            <w:pPr>
              <w:jc w:val="center"/>
              <w:rPr>
                <w:rFonts w:ascii="宋体" w:hAnsi="宋体"/>
                <w:szCs w:val="21"/>
                <w:highlight w:val="none"/>
              </w:rPr>
            </w:pPr>
            <w:r>
              <w:rPr>
                <w:rFonts w:hint="eastAsia" w:ascii="宋体" w:hAnsi="宋体"/>
                <w:szCs w:val="21"/>
                <w:highlight w:val="none"/>
              </w:rPr>
              <w:t>广东</w:t>
            </w:r>
          </w:p>
        </w:tc>
      </w:tr>
      <w:tr w14:paraId="0EB00C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044AAE65">
            <w:pPr>
              <w:jc w:val="center"/>
              <w:rPr>
                <w:rFonts w:ascii="宋体" w:hAnsi="宋体"/>
                <w:szCs w:val="21"/>
                <w:highlight w:val="none"/>
              </w:rPr>
            </w:pPr>
          </w:p>
        </w:tc>
        <w:tc>
          <w:tcPr>
            <w:tcW w:w="835" w:type="dxa"/>
            <w:vMerge w:val="continue"/>
            <w:vAlign w:val="center"/>
          </w:tcPr>
          <w:p w14:paraId="11F8638D">
            <w:pPr>
              <w:jc w:val="center"/>
              <w:rPr>
                <w:rFonts w:ascii="宋体" w:hAnsi="宋体"/>
                <w:szCs w:val="21"/>
                <w:highlight w:val="none"/>
              </w:rPr>
            </w:pPr>
          </w:p>
        </w:tc>
        <w:tc>
          <w:tcPr>
            <w:tcW w:w="2411" w:type="dxa"/>
            <w:vAlign w:val="center"/>
          </w:tcPr>
          <w:p w14:paraId="32A0D9F9">
            <w:pPr>
              <w:jc w:val="center"/>
              <w:rPr>
                <w:rFonts w:ascii="宋体" w:hAnsi="宋体"/>
                <w:szCs w:val="21"/>
                <w:highlight w:val="none"/>
              </w:rPr>
            </w:pPr>
            <w:r>
              <w:rPr>
                <w:rFonts w:hint="eastAsia" w:ascii="宋体" w:hAnsi="宋体"/>
                <w:szCs w:val="21"/>
                <w:highlight w:val="none"/>
              </w:rPr>
              <w:t>铝扣板天花</w:t>
            </w:r>
          </w:p>
        </w:tc>
        <w:tc>
          <w:tcPr>
            <w:tcW w:w="1677" w:type="dxa"/>
            <w:vAlign w:val="center"/>
          </w:tcPr>
          <w:p w14:paraId="722E44C6">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3180470B">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31C0631F">
            <w:pPr>
              <w:jc w:val="center"/>
              <w:rPr>
                <w:rFonts w:ascii="宋体" w:hAnsi="宋体"/>
                <w:szCs w:val="21"/>
                <w:highlight w:val="none"/>
              </w:rPr>
            </w:pPr>
            <w:r>
              <w:rPr>
                <w:rFonts w:hint="eastAsia" w:ascii="宋体" w:hAnsi="宋体"/>
                <w:szCs w:val="21"/>
                <w:highlight w:val="none"/>
              </w:rPr>
              <w:t>拓普泰德</w:t>
            </w:r>
          </w:p>
          <w:p w14:paraId="696616F6">
            <w:pPr>
              <w:jc w:val="center"/>
              <w:rPr>
                <w:rFonts w:ascii="宋体" w:hAnsi="宋体"/>
                <w:szCs w:val="21"/>
                <w:highlight w:val="none"/>
              </w:rPr>
            </w:pPr>
            <w:r>
              <w:rPr>
                <w:rFonts w:hint="eastAsia" w:ascii="宋体" w:hAnsi="宋体"/>
                <w:szCs w:val="21"/>
                <w:highlight w:val="none"/>
              </w:rPr>
              <w:t>伟泰</w:t>
            </w:r>
          </w:p>
          <w:p w14:paraId="4C3F0813">
            <w:pPr>
              <w:jc w:val="center"/>
              <w:rPr>
                <w:rFonts w:ascii="宋体" w:hAnsi="宋体"/>
                <w:szCs w:val="21"/>
                <w:highlight w:val="none"/>
              </w:rPr>
            </w:pPr>
            <w:r>
              <w:rPr>
                <w:rFonts w:hint="eastAsia" w:ascii="宋体" w:hAnsi="宋体"/>
                <w:szCs w:val="21"/>
                <w:highlight w:val="none"/>
              </w:rPr>
              <w:t>联兴</w:t>
            </w:r>
          </w:p>
        </w:tc>
        <w:tc>
          <w:tcPr>
            <w:tcW w:w="1153" w:type="dxa"/>
            <w:vAlign w:val="center"/>
          </w:tcPr>
          <w:p w14:paraId="411C9B49">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7EBD6448">
            <w:pPr>
              <w:jc w:val="center"/>
              <w:rPr>
                <w:rFonts w:ascii="宋体" w:hAnsi="宋体"/>
                <w:szCs w:val="21"/>
                <w:highlight w:val="none"/>
              </w:rPr>
            </w:pPr>
            <w:r>
              <w:rPr>
                <w:rFonts w:hint="eastAsia" w:ascii="宋体" w:hAnsi="宋体"/>
                <w:szCs w:val="21"/>
                <w:highlight w:val="none"/>
              </w:rPr>
              <w:t>广州</w:t>
            </w:r>
          </w:p>
          <w:p w14:paraId="5293DF01">
            <w:pPr>
              <w:jc w:val="center"/>
              <w:rPr>
                <w:rFonts w:ascii="宋体" w:hAnsi="宋体"/>
                <w:szCs w:val="21"/>
                <w:highlight w:val="none"/>
              </w:rPr>
            </w:pPr>
            <w:r>
              <w:rPr>
                <w:rFonts w:hint="eastAsia" w:ascii="宋体" w:hAnsi="宋体"/>
                <w:szCs w:val="21"/>
                <w:highlight w:val="none"/>
              </w:rPr>
              <w:t>深圳</w:t>
            </w:r>
          </w:p>
          <w:p w14:paraId="5E4BD56C">
            <w:pPr>
              <w:jc w:val="center"/>
              <w:rPr>
                <w:rFonts w:ascii="宋体" w:hAnsi="宋体"/>
                <w:szCs w:val="21"/>
                <w:highlight w:val="none"/>
              </w:rPr>
            </w:pPr>
            <w:r>
              <w:rPr>
                <w:rFonts w:hint="eastAsia" w:ascii="宋体" w:hAnsi="宋体"/>
                <w:szCs w:val="21"/>
                <w:highlight w:val="none"/>
              </w:rPr>
              <w:t>佛山</w:t>
            </w:r>
          </w:p>
        </w:tc>
      </w:tr>
      <w:tr w14:paraId="0A5C5D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16E38263">
            <w:pPr>
              <w:jc w:val="center"/>
              <w:rPr>
                <w:rFonts w:ascii="宋体" w:hAnsi="宋体"/>
                <w:szCs w:val="21"/>
                <w:highlight w:val="none"/>
              </w:rPr>
            </w:pPr>
          </w:p>
        </w:tc>
        <w:tc>
          <w:tcPr>
            <w:tcW w:w="835" w:type="dxa"/>
            <w:vMerge w:val="continue"/>
            <w:vAlign w:val="center"/>
          </w:tcPr>
          <w:p w14:paraId="7C346609">
            <w:pPr>
              <w:jc w:val="center"/>
              <w:rPr>
                <w:rFonts w:ascii="宋体" w:hAnsi="宋体"/>
                <w:szCs w:val="21"/>
                <w:highlight w:val="none"/>
              </w:rPr>
            </w:pPr>
          </w:p>
        </w:tc>
        <w:tc>
          <w:tcPr>
            <w:tcW w:w="2411" w:type="dxa"/>
            <w:vAlign w:val="center"/>
          </w:tcPr>
          <w:p w14:paraId="3148E4DB">
            <w:pPr>
              <w:jc w:val="center"/>
              <w:rPr>
                <w:rFonts w:ascii="宋体" w:hAnsi="宋体"/>
                <w:szCs w:val="21"/>
                <w:highlight w:val="none"/>
              </w:rPr>
            </w:pPr>
            <w:r>
              <w:rPr>
                <w:rFonts w:hint="eastAsia" w:ascii="宋体" w:hAnsi="宋体"/>
                <w:szCs w:val="21"/>
                <w:highlight w:val="none"/>
              </w:rPr>
              <w:t>吸音板</w:t>
            </w:r>
          </w:p>
        </w:tc>
        <w:tc>
          <w:tcPr>
            <w:tcW w:w="1677" w:type="dxa"/>
            <w:vAlign w:val="center"/>
          </w:tcPr>
          <w:p w14:paraId="234EEF84">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5D2E9D7E">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65969FA6">
            <w:pPr>
              <w:jc w:val="center"/>
              <w:rPr>
                <w:rFonts w:ascii="宋体" w:hAnsi="宋体"/>
                <w:szCs w:val="21"/>
                <w:highlight w:val="none"/>
              </w:rPr>
            </w:pPr>
            <w:r>
              <w:rPr>
                <w:rFonts w:hint="eastAsia" w:ascii="宋体" w:hAnsi="宋体"/>
                <w:szCs w:val="21"/>
                <w:highlight w:val="none"/>
              </w:rPr>
              <w:t>丽音</w:t>
            </w:r>
          </w:p>
          <w:p w14:paraId="79D3D059">
            <w:pPr>
              <w:jc w:val="center"/>
              <w:rPr>
                <w:rFonts w:ascii="宋体" w:hAnsi="宋体"/>
                <w:szCs w:val="21"/>
                <w:highlight w:val="none"/>
              </w:rPr>
            </w:pPr>
            <w:r>
              <w:rPr>
                <w:rFonts w:hint="eastAsia" w:ascii="宋体" w:hAnsi="宋体"/>
                <w:szCs w:val="21"/>
                <w:highlight w:val="none"/>
              </w:rPr>
              <w:t>吉泰</w:t>
            </w:r>
          </w:p>
          <w:p w14:paraId="554B080F">
            <w:pPr>
              <w:jc w:val="center"/>
              <w:rPr>
                <w:rFonts w:ascii="微软雅黑" w:hAnsi="微软雅黑"/>
                <w:sz w:val="36"/>
                <w:szCs w:val="36"/>
                <w:highlight w:val="none"/>
              </w:rPr>
            </w:pPr>
            <w:r>
              <w:rPr>
                <w:rFonts w:ascii="宋体" w:hAnsi="宋体"/>
                <w:szCs w:val="21"/>
                <w:highlight w:val="none"/>
              </w:rPr>
              <w:t>佰家丽</w:t>
            </w:r>
          </w:p>
        </w:tc>
        <w:tc>
          <w:tcPr>
            <w:tcW w:w="1153" w:type="dxa"/>
            <w:vAlign w:val="center"/>
          </w:tcPr>
          <w:p w14:paraId="584A7B44">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4D94B360">
            <w:pPr>
              <w:jc w:val="center"/>
              <w:rPr>
                <w:rFonts w:ascii="宋体" w:hAnsi="宋体"/>
                <w:szCs w:val="21"/>
                <w:highlight w:val="none"/>
              </w:rPr>
            </w:pPr>
            <w:r>
              <w:rPr>
                <w:rFonts w:hint="eastAsia" w:ascii="宋体" w:hAnsi="宋体"/>
                <w:szCs w:val="21"/>
                <w:highlight w:val="none"/>
              </w:rPr>
              <w:t>广州</w:t>
            </w:r>
          </w:p>
          <w:p w14:paraId="331EEC14">
            <w:pPr>
              <w:jc w:val="center"/>
              <w:rPr>
                <w:rFonts w:ascii="宋体" w:hAnsi="宋体"/>
                <w:szCs w:val="21"/>
                <w:highlight w:val="none"/>
              </w:rPr>
            </w:pPr>
            <w:r>
              <w:rPr>
                <w:rFonts w:hint="eastAsia" w:ascii="宋体" w:hAnsi="宋体"/>
                <w:szCs w:val="21"/>
                <w:highlight w:val="none"/>
              </w:rPr>
              <w:t>广州</w:t>
            </w:r>
          </w:p>
          <w:p w14:paraId="4B41AC66">
            <w:pPr>
              <w:jc w:val="center"/>
              <w:rPr>
                <w:rFonts w:ascii="宋体" w:hAnsi="宋体"/>
                <w:szCs w:val="21"/>
                <w:highlight w:val="none"/>
              </w:rPr>
            </w:pPr>
            <w:r>
              <w:rPr>
                <w:rFonts w:hint="eastAsia" w:ascii="宋体" w:hAnsi="宋体"/>
                <w:szCs w:val="21"/>
                <w:highlight w:val="none"/>
              </w:rPr>
              <w:t>江苏</w:t>
            </w:r>
          </w:p>
        </w:tc>
      </w:tr>
      <w:tr w14:paraId="262874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1B02F3DE">
            <w:pPr>
              <w:jc w:val="center"/>
              <w:rPr>
                <w:rFonts w:ascii="宋体" w:hAnsi="宋体"/>
                <w:szCs w:val="21"/>
                <w:highlight w:val="none"/>
              </w:rPr>
            </w:pPr>
          </w:p>
        </w:tc>
        <w:tc>
          <w:tcPr>
            <w:tcW w:w="835" w:type="dxa"/>
            <w:vMerge w:val="continue"/>
            <w:vAlign w:val="center"/>
          </w:tcPr>
          <w:p w14:paraId="63651DB9">
            <w:pPr>
              <w:jc w:val="center"/>
              <w:rPr>
                <w:rFonts w:ascii="宋体" w:hAnsi="宋体"/>
                <w:szCs w:val="21"/>
                <w:highlight w:val="none"/>
              </w:rPr>
            </w:pPr>
          </w:p>
        </w:tc>
        <w:tc>
          <w:tcPr>
            <w:tcW w:w="2411" w:type="dxa"/>
            <w:vAlign w:val="center"/>
          </w:tcPr>
          <w:p w14:paraId="0D55B921">
            <w:pPr>
              <w:jc w:val="center"/>
              <w:rPr>
                <w:rFonts w:ascii="宋体" w:hAnsi="宋体"/>
                <w:szCs w:val="21"/>
                <w:highlight w:val="none"/>
              </w:rPr>
            </w:pPr>
            <w:r>
              <w:rPr>
                <w:rFonts w:hint="eastAsia" w:ascii="宋体" w:hAnsi="宋体"/>
                <w:szCs w:val="21"/>
                <w:highlight w:val="none"/>
              </w:rPr>
              <w:t>环保腻子</w:t>
            </w:r>
          </w:p>
        </w:tc>
        <w:tc>
          <w:tcPr>
            <w:tcW w:w="1677" w:type="dxa"/>
            <w:vAlign w:val="center"/>
          </w:tcPr>
          <w:p w14:paraId="5F929C52">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4642A8FD">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2E44CF3C">
            <w:pPr>
              <w:jc w:val="center"/>
              <w:rPr>
                <w:rFonts w:ascii="宋体" w:hAnsi="宋体"/>
                <w:szCs w:val="21"/>
                <w:highlight w:val="none"/>
              </w:rPr>
            </w:pPr>
            <w:r>
              <w:rPr>
                <w:rFonts w:hint="eastAsia" w:ascii="宋体" w:hAnsi="宋体"/>
                <w:szCs w:val="21"/>
                <w:highlight w:val="none"/>
              </w:rPr>
              <w:t>多邦</w:t>
            </w:r>
          </w:p>
          <w:p w14:paraId="3DC7A6E7">
            <w:pPr>
              <w:jc w:val="center"/>
              <w:rPr>
                <w:rFonts w:ascii="宋体" w:hAnsi="宋体"/>
                <w:szCs w:val="21"/>
                <w:highlight w:val="none"/>
              </w:rPr>
            </w:pPr>
            <w:r>
              <w:rPr>
                <w:rFonts w:hint="eastAsia" w:ascii="宋体" w:hAnsi="宋体"/>
                <w:szCs w:val="21"/>
                <w:highlight w:val="none"/>
              </w:rPr>
              <w:t>美涂壁</w:t>
            </w:r>
          </w:p>
          <w:p w14:paraId="0F5D8241">
            <w:pPr>
              <w:jc w:val="center"/>
              <w:rPr>
                <w:rFonts w:ascii="宋体" w:hAnsi="宋体"/>
                <w:szCs w:val="21"/>
                <w:highlight w:val="none"/>
              </w:rPr>
            </w:pPr>
            <w:r>
              <w:rPr>
                <w:rFonts w:hint="eastAsia" w:ascii="宋体" w:hAnsi="宋体"/>
                <w:szCs w:val="21"/>
                <w:highlight w:val="none"/>
              </w:rPr>
              <w:t>立邦</w:t>
            </w:r>
          </w:p>
        </w:tc>
        <w:tc>
          <w:tcPr>
            <w:tcW w:w="1153" w:type="dxa"/>
            <w:vAlign w:val="center"/>
          </w:tcPr>
          <w:p w14:paraId="3792CC42">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0EE24F8D">
            <w:pPr>
              <w:jc w:val="center"/>
              <w:rPr>
                <w:rFonts w:ascii="宋体" w:hAnsi="宋体"/>
                <w:szCs w:val="21"/>
                <w:highlight w:val="none"/>
              </w:rPr>
            </w:pPr>
            <w:r>
              <w:rPr>
                <w:rFonts w:hint="eastAsia" w:ascii="宋体" w:hAnsi="宋体"/>
                <w:szCs w:val="21"/>
                <w:highlight w:val="none"/>
              </w:rPr>
              <w:t>广州</w:t>
            </w:r>
          </w:p>
          <w:p w14:paraId="7AC0B911">
            <w:pPr>
              <w:jc w:val="center"/>
              <w:rPr>
                <w:rFonts w:ascii="宋体" w:hAnsi="宋体"/>
                <w:szCs w:val="21"/>
                <w:highlight w:val="none"/>
              </w:rPr>
            </w:pPr>
            <w:r>
              <w:rPr>
                <w:rFonts w:hint="eastAsia" w:ascii="宋体" w:hAnsi="宋体"/>
                <w:szCs w:val="21"/>
                <w:highlight w:val="none"/>
              </w:rPr>
              <w:t>东莞</w:t>
            </w:r>
          </w:p>
          <w:p w14:paraId="3CE39C63">
            <w:pPr>
              <w:jc w:val="center"/>
              <w:rPr>
                <w:rFonts w:ascii="宋体" w:hAnsi="宋体"/>
                <w:szCs w:val="21"/>
                <w:highlight w:val="none"/>
              </w:rPr>
            </w:pPr>
            <w:r>
              <w:rPr>
                <w:rFonts w:hint="eastAsia" w:ascii="宋体" w:hAnsi="宋体"/>
                <w:szCs w:val="21"/>
                <w:highlight w:val="none"/>
              </w:rPr>
              <w:t>广州</w:t>
            </w:r>
          </w:p>
        </w:tc>
      </w:tr>
      <w:tr w14:paraId="1FACD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023B3E0B">
            <w:pPr>
              <w:jc w:val="center"/>
              <w:rPr>
                <w:rFonts w:ascii="宋体" w:hAnsi="宋体"/>
                <w:szCs w:val="21"/>
                <w:highlight w:val="none"/>
              </w:rPr>
            </w:pPr>
          </w:p>
        </w:tc>
        <w:tc>
          <w:tcPr>
            <w:tcW w:w="835" w:type="dxa"/>
            <w:vMerge w:val="continue"/>
            <w:vAlign w:val="center"/>
          </w:tcPr>
          <w:p w14:paraId="401C1238">
            <w:pPr>
              <w:jc w:val="center"/>
              <w:rPr>
                <w:rFonts w:ascii="宋体" w:hAnsi="宋体"/>
                <w:szCs w:val="21"/>
                <w:highlight w:val="none"/>
              </w:rPr>
            </w:pPr>
          </w:p>
        </w:tc>
        <w:tc>
          <w:tcPr>
            <w:tcW w:w="2411" w:type="dxa"/>
            <w:vAlign w:val="center"/>
          </w:tcPr>
          <w:p w14:paraId="0E3C01F5">
            <w:pPr>
              <w:jc w:val="center"/>
              <w:rPr>
                <w:rFonts w:ascii="宋体" w:hAnsi="宋体"/>
                <w:szCs w:val="21"/>
                <w:highlight w:val="none"/>
              </w:rPr>
            </w:pPr>
            <w:r>
              <w:rPr>
                <w:rFonts w:hint="eastAsia" w:ascii="宋体" w:hAnsi="宋体"/>
                <w:szCs w:val="21"/>
                <w:highlight w:val="none"/>
              </w:rPr>
              <w:t>（石材胶）玻璃胶</w:t>
            </w:r>
          </w:p>
        </w:tc>
        <w:tc>
          <w:tcPr>
            <w:tcW w:w="1677" w:type="dxa"/>
            <w:vAlign w:val="center"/>
          </w:tcPr>
          <w:p w14:paraId="60AF33F0">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3116F118">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5B30208B">
            <w:pPr>
              <w:jc w:val="center"/>
              <w:rPr>
                <w:rFonts w:ascii="宋体" w:hAnsi="宋体"/>
                <w:szCs w:val="21"/>
                <w:highlight w:val="none"/>
              </w:rPr>
            </w:pPr>
            <w:r>
              <w:rPr>
                <w:rFonts w:hint="eastAsia" w:ascii="宋体" w:hAnsi="宋体"/>
                <w:szCs w:val="21"/>
                <w:highlight w:val="none"/>
              </w:rPr>
              <w:t>道康宁</w:t>
            </w:r>
          </w:p>
          <w:p w14:paraId="50699933">
            <w:pPr>
              <w:jc w:val="center"/>
              <w:rPr>
                <w:rFonts w:ascii="宋体" w:hAnsi="宋体"/>
                <w:szCs w:val="21"/>
                <w:highlight w:val="none"/>
              </w:rPr>
            </w:pPr>
            <w:r>
              <w:rPr>
                <w:rFonts w:hint="eastAsia" w:ascii="宋体" w:hAnsi="宋体"/>
                <w:szCs w:val="21"/>
                <w:highlight w:val="none"/>
              </w:rPr>
              <w:t>白云</w:t>
            </w:r>
          </w:p>
          <w:p w14:paraId="4AE9A3E7">
            <w:pPr>
              <w:jc w:val="center"/>
              <w:rPr>
                <w:rFonts w:ascii="宋体" w:hAnsi="宋体"/>
                <w:szCs w:val="21"/>
                <w:highlight w:val="none"/>
              </w:rPr>
            </w:pPr>
            <w:r>
              <w:rPr>
                <w:rFonts w:hint="eastAsia" w:ascii="宋体" w:hAnsi="宋体"/>
                <w:szCs w:val="21"/>
                <w:highlight w:val="none"/>
              </w:rPr>
              <w:t>安泰</w:t>
            </w:r>
          </w:p>
        </w:tc>
        <w:tc>
          <w:tcPr>
            <w:tcW w:w="1153" w:type="dxa"/>
            <w:vAlign w:val="center"/>
          </w:tcPr>
          <w:p w14:paraId="736BA4A3">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733BC07F">
            <w:pPr>
              <w:jc w:val="center"/>
              <w:rPr>
                <w:rFonts w:ascii="宋体" w:hAnsi="宋体"/>
                <w:szCs w:val="21"/>
                <w:highlight w:val="none"/>
              </w:rPr>
            </w:pPr>
            <w:r>
              <w:rPr>
                <w:rFonts w:hint="eastAsia" w:ascii="宋体" w:hAnsi="宋体"/>
                <w:szCs w:val="21"/>
                <w:highlight w:val="none"/>
              </w:rPr>
              <w:t>上海</w:t>
            </w:r>
          </w:p>
          <w:p w14:paraId="3B3E39B3">
            <w:pPr>
              <w:jc w:val="center"/>
              <w:rPr>
                <w:rFonts w:ascii="宋体" w:hAnsi="宋体"/>
                <w:szCs w:val="21"/>
                <w:highlight w:val="none"/>
              </w:rPr>
            </w:pPr>
            <w:r>
              <w:rPr>
                <w:rFonts w:hint="eastAsia" w:ascii="宋体" w:hAnsi="宋体"/>
                <w:szCs w:val="21"/>
                <w:highlight w:val="none"/>
              </w:rPr>
              <w:t>广州</w:t>
            </w:r>
          </w:p>
        </w:tc>
      </w:tr>
      <w:tr w14:paraId="0C1658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309C0522">
            <w:pPr>
              <w:jc w:val="center"/>
              <w:rPr>
                <w:rFonts w:ascii="宋体" w:hAnsi="宋体"/>
                <w:szCs w:val="21"/>
                <w:highlight w:val="none"/>
              </w:rPr>
            </w:pPr>
          </w:p>
        </w:tc>
        <w:tc>
          <w:tcPr>
            <w:tcW w:w="835" w:type="dxa"/>
            <w:vMerge w:val="continue"/>
            <w:vAlign w:val="center"/>
          </w:tcPr>
          <w:p w14:paraId="486B0EAA">
            <w:pPr>
              <w:jc w:val="center"/>
              <w:rPr>
                <w:rFonts w:ascii="宋体" w:hAnsi="宋体"/>
                <w:szCs w:val="21"/>
                <w:highlight w:val="none"/>
              </w:rPr>
            </w:pPr>
          </w:p>
        </w:tc>
        <w:tc>
          <w:tcPr>
            <w:tcW w:w="2411" w:type="dxa"/>
            <w:vAlign w:val="center"/>
          </w:tcPr>
          <w:p w14:paraId="53FEFA31">
            <w:pPr>
              <w:jc w:val="center"/>
              <w:rPr>
                <w:rFonts w:ascii="宋体" w:hAnsi="宋体"/>
                <w:szCs w:val="21"/>
                <w:highlight w:val="none"/>
              </w:rPr>
            </w:pPr>
            <w:r>
              <w:rPr>
                <w:rFonts w:hint="eastAsia" w:ascii="宋体" w:hAnsi="宋体"/>
                <w:szCs w:val="21"/>
                <w:highlight w:val="none"/>
              </w:rPr>
              <w:t>镀锌钢材</w:t>
            </w:r>
          </w:p>
        </w:tc>
        <w:tc>
          <w:tcPr>
            <w:tcW w:w="1677" w:type="dxa"/>
            <w:vAlign w:val="center"/>
          </w:tcPr>
          <w:p w14:paraId="392D89BB">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4DF7D5D7">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11805706">
            <w:pPr>
              <w:jc w:val="center"/>
              <w:rPr>
                <w:rFonts w:ascii="宋体" w:hAnsi="宋体"/>
                <w:szCs w:val="21"/>
                <w:highlight w:val="none"/>
              </w:rPr>
            </w:pPr>
            <w:r>
              <w:rPr>
                <w:rFonts w:hint="eastAsia" w:ascii="宋体" w:hAnsi="宋体"/>
                <w:szCs w:val="21"/>
                <w:highlight w:val="none"/>
              </w:rPr>
              <w:t>韶钢</w:t>
            </w:r>
          </w:p>
          <w:p w14:paraId="06D11796">
            <w:pPr>
              <w:jc w:val="center"/>
              <w:rPr>
                <w:rFonts w:ascii="宋体" w:hAnsi="宋体"/>
                <w:szCs w:val="21"/>
                <w:highlight w:val="none"/>
              </w:rPr>
            </w:pPr>
            <w:r>
              <w:rPr>
                <w:rFonts w:hint="eastAsia" w:ascii="宋体" w:hAnsi="宋体"/>
                <w:szCs w:val="21"/>
                <w:highlight w:val="none"/>
              </w:rPr>
              <w:t>武钢</w:t>
            </w:r>
          </w:p>
          <w:p w14:paraId="34C8727F">
            <w:pPr>
              <w:jc w:val="center"/>
              <w:rPr>
                <w:rFonts w:ascii="宋体" w:hAnsi="宋体"/>
                <w:szCs w:val="21"/>
                <w:highlight w:val="none"/>
              </w:rPr>
            </w:pPr>
            <w:r>
              <w:rPr>
                <w:rFonts w:hint="eastAsia" w:ascii="宋体" w:hAnsi="宋体"/>
                <w:szCs w:val="21"/>
                <w:highlight w:val="none"/>
              </w:rPr>
              <w:t>广钢</w:t>
            </w:r>
          </w:p>
        </w:tc>
        <w:tc>
          <w:tcPr>
            <w:tcW w:w="1153" w:type="dxa"/>
            <w:vAlign w:val="center"/>
          </w:tcPr>
          <w:p w14:paraId="076B4BE9">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1BFBABE7">
            <w:pPr>
              <w:jc w:val="center"/>
              <w:rPr>
                <w:rFonts w:ascii="宋体" w:hAnsi="宋体"/>
                <w:szCs w:val="21"/>
                <w:highlight w:val="none"/>
              </w:rPr>
            </w:pPr>
          </w:p>
        </w:tc>
      </w:tr>
      <w:tr w14:paraId="56AFF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44534FA6">
            <w:pPr>
              <w:jc w:val="center"/>
              <w:rPr>
                <w:rFonts w:ascii="宋体" w:hAnsi="宋体"/>
                <w:szCs w:val="21"/>
                <w:highlight w:val="none"/>
              </w:rPr>
            </w:pPr>
          </w:p>
        </w:tc>
        <w:tc>
          <w:tcPr>
            <w:tcW w:w="835" w:type="dxa"/>
            <w:vMerge w:val="continue"/>
            <w:vAlign w:val="center"/>
          </w:tcPr>
          <w:p w14:paraId="44A108CE">
            <w:pPr>
              <w:jc w:val="center"/>
              <w:rPr>
                <w:rFonts w:ascii="宋体" w:hAnsi="宋体"/>
                <w:szCs w:val="21"/>
                <w:highlight w:val="none"/>
              </w:rPr>
            </w:pPr>
          </w:p>
        </w:tc>
        <w:tc>
          <w:tcPr>
            <w:tcW w:w="2411" w:type="dxa"/>
            <w:vAlign w:val="center"/>
          </w:tcPr>
          <w:p w14:paraId="5C02D6F2">
            <w:pPr>
              <w:jc w:val="center"/>
              <w:rPr>
                <w:rFonts w:ascii="宋体" w:hAnsi="宋体"/>
                <w:szCs w:val="21"/>
                <w:highlight w:val="none"/>
              </w:rPr>
            </w:pPr>
            <w:r>
              <w:rPr>
                <w:rFonts w:hint="eastAsia" w:ascii="宋体" w:hAnsi="宋体"/>
                <w:szCs w:val="21"/>
                <w:highlight w:val="none"/>
              </w:rPr>
              <w:t>铝窗五金配件</w:t>
            </w:r>
          </w:p>
        </w:tc>
        <w:tc>
          <w:tcPr>
            <w:tcW w:w="1677" w:type="dxa"/>
            <w:vAlign w:val="center"/>
          </w:tcPr>
          <w:p w14:paraId="0FE271D9">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79B4C573">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7C47741E">
            <w:pPr>
              <w:jc w:val="center"/>
              <w:rPr>
                <w:rFonts w:ascii="宋体" w:hAnsi="宋体"/>
                <w:szCs w:val="21"/>
                <w:highlight w:val="none"/>
              </w:rPr>
            </w:pPr>
            <w:r>
              <w:rPr>
                <w:rFonts w:hint="eastAsia" w:ascii="宋体" w:hAnsi="宋体"/>
                <w:szCs w:val="21"/>
                <w:highlight w:val="none"/>
              </w:rPr>
              <w:t>顶固</w:t>
            </w:r>
          </w:p>
          <w:p w14:paraId="53C8ED54">
            <w:pPr>
              <w:jc w:val="center"/>
              <w:rPr>
                <w:rFonts w:ascii="宋体" w:hAnsi="宋体"/>
                <w:szCs w:val="21"/>
                <w:highlight w:val="none"/>
              </w:rPr>
            </w:pPr>
            <w:r>
              <w:rPr>
                <w:rFonts w:hint="eastAsia" w:ascii="宋体" w:hAnsi="宋体"/>
                <w:szCs w:val="21"/>
                <w:highlight w:val="none"/>
              </w:rPr>
              <w:t>好博</w:t>
            </w:r>
          </w:p>
          <w:p w14:paraId="7B98F047">
            <w:pPr>
              <w:jc w:val="center"/>
              <w:rPr>
                <w:rFonts w:ascii="宋体" w:hAnsi="宋体"/>
                <w:szCs w:val="21"/>
                <w:highlight w:val="none"/>
              </w:rPr>
            </w:pPr>
            <w:r>
              <w:rPr>
                <w:rFonts w:hint="eastAsia" w:ascii="宋体" w:hAnsi="宋体"/>
                <w:szCs w:val="21"/>
                <w:highlight w:val="none"/>
              </w:rPr>
              <w:t>坚朗</w:t>
            </w:r>
          </w:p>
        </w:tc>
        <w:tc>
          <w:tcPr>
            <w:tcW w:w="1153" w:type="dxa"/>
            <w:vAlign w:val="center"/>
          </w:tcPr>
          <w:p w14:paraId="0F0B8C0E">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718141A9">
            <w:pPr>
              <w:jc w:val="center"/>
              <w:rPr>
                <w:rFonts w:ascii="宋体" w:hAnsi="宋体"/>
                <w:szCs w:val="21"/>
                <w:highlight w:val="none"/>
              </w:rPr>
            </w:pPr>
            <w:r>
              <w:rPr>
                <w:rFonts w:hint="eastAsia" w:ascii="宋体" w:hAnsi="宋体"/>
                <w:szCs w:val="21"/>
                <w:highlight w:val="none"/>
              </w:rPr>
              <w:t>中山</w:t>
            </w:r>
          </w:p>
          <w:p w14:paraId="5A92FC2D">
            <w:pPr>
              <w:jc w:val="center"/>
              <w:rPr>
                <w:rFonts w:ascii="宋体" w:hAnsi="宋体"/>
                <w:szCs w:val="21"/>
                <w:highlight w:val="none"/>
              </w:rPr>
            </w:pPr>
            <w:r>
              <w:rPr>
                <w:rFonts w:hint="eastAsia" w:ascii="宋体" w:hAnsi="宋体"/>
                <w:szCs w:val="21"/>
                <w:highlight w:val="none"/>
              </w:rPr>
              <w:t>深圳</w:t>
            </w:r>
          </w:p>
          <w:p w14:paraId="11829072">
            <w:pPr>
              <w:jc w:val="center"/>
              <w:rPr>
                <w:rFonts w:ascii="宋体" w:hAnsi="宋体"/>
                <w:szCs w:val="21"/>
                <w:highlight w:val="none"/>
              </w:rPr>
            </w:pPr>
            <w:r>
              <w:rPr>
                <w:rFonts w:hint="eastAsia" w:ascii="宋体" w:hAnsi="宋体"/>
                <w:szCs w:val="21"/>
                <w:highlight w:val="none"/>
              </w:rPr>
              <w:t>东莞</w:t>
            </w:r>
          </w:p>
        </w:tc>
      </w:tr>
      <w:tr w14:paraId="15AD61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28349387">
            <w:pPr>
              <w:jc w:val="center"/>
              <w:rPr>
                <w:rFonts w:ascii="宋体" w:hAnsi="宋体"/>
                <w:szCs w:val="21"/>
                <w:highlight w:val="none"/>
              </w:rPr>
            </w:pPr>
          </w:p>
        </w:tc>
        <w:tc>
          <w:tcPr>
            <w:tcW w:w="835" w:type="dxa"/>
            <w:vMerge w:val="continue"/>
            <w:vAlign w:val="center"/>
          </w:tcPr>
          <w:p w14:paraId="60ED3145">
            <w:pPr>
              <w:jc w:val="center"/>
              <w:rPr>
                <w:rFonts w:ascii="宋体" w:hAnsi="宋体"/>
                <w:szCs w:val="21"/>
                <w:highlight w:val="none"/>
              </w:rPr>
            </w:pPr>
          </w:p>
        </w:tc>
        <w:tc>
          <w:tcPr>
            <w:tcW w:w="2411" w:type="dxa"/>
            <w:vAlign w:val="center"/>
          </w:tcPr>
          <w:p w14:paraId="209E4FB1">
            <w:pPr>
              <w:jc w:val="center"/>
              <w:rPr>
                <w:rFonts w:ascii="宋体" w:hAnsi="宋体"/>
                <w:szCs w:val="21"/>
                <w:highlight w:val="none"/>
              </w:rPr>
            </w:pPr>
            <w:r>
              <w:rPr>
                <w:rFonts w:hint="eastAsia" w:ascii="宋体" w:hAnsi="宋体"/>
                <w:szCs w:val="21"/>
                <w:highlight w:val="none"/>
              </w:rPr>
              <w:t>不锈钢</w:t>
            </w:r>
          </w:p>
        </w:tc>
        <w:tc>
          <w:tcPr>
            <w:tcW w:w="1677" w:type="dxa"/>
            <w:vAlign w:val="center"/>
          </w:tcPr>
          <w:p w14:paraId="7194065E">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1C8D57D7">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5BF0E951">
            <w:pPr>
              <w:jc w:val="center"/>
              <w:rPr>
                <w:rFonts w:ascii="宋体" w:hAnsi="宋体"/>
                <w:szCs w:val="21"/>
                <w:highlight w:val="none"/>
              </w:rPr>
            </w:pPr>
            <w:r>
              <w:rPr>
                <w:rFonts w:hint="eastAsia" w:ascii="宋体" w:hAnsi="宋体"/>
                <w:szCs w:val="21"/>
                <w:highlight w:val="none"/>
              </w:rPr>
              <w:t>大昌</w:t>
            </w:r>
          </w:p>
          <w:p w14:paraId="2C520B79">
            <w:pPr>
              <w:jc w:val="center"/>
              <w:rPr>
                <w:rFonts w:ascii="宋体" w:hAnsi="宋体"/>
                <w:szCs w:val="21"/>
                <w:highlight w:val="none"/>
              </w:rPr>
            </w:pPr>
            <w:r>
              <w:rPr>
                <w:rFonts w:hint="eastAsia" w:ascii="宋体" w:hAnsi="宋体"/>
                <w:szCs w:val="21"/>
                <w:highlight w:val="none"/>
              </w:rPr>
              <w:t>海利</w:t>
            </w:r>
          </w:p>
          <w:p w14:paraId="32015720">
            <w:pPr>
              <w:jc w:val="center"/>
              <w:rPr>
                <w:rFonts w:ascii="宋体" w:hAnsi="宋体"/>
                <w:szCs w:val="21"/>
                <w:highlight w:val="none"/>
              </w:rPr>
            </w:pPr>
            <w:r>
              <w:rPr>
                <w:rFonts w:hint="eastAsia" w:ascii="宋体" w:hAnsi="宋体"/>
                <w:szCs w:val="21"/>
                <w:highlight w:val="none"/>
              </w:rPr>
              <w:t>武钢</w:t>
            </w:r>
          </w:p>
        </w:tc>
        <w:tc>
          <w:tcPr>
            <w:tcW w:w="1153" w:type="dxa"/>
            <w:vAlign w:val="center"/>
          </w:tcPr>
          <w:p w14:paraId="7F279119">
            <w:pPr>
              <w:jc w:val="center"/>
              <w:rPr>
                <w:rFonts w:ascii="宋体" w:hAnsi="宋体"/>
                <w:szCs w:val="21"/>
                <w:highlight w:val="none"/>
              </w:rPr>
            </w:pPr>
            <w:r>
              <w:rPr>
                <w:rFonts w:hint="eastAsia" w:ascii="宋体" w:hAnsi="宋体"/>
                <w:szCs w:val="21"/>
                <w:highlight w:val="none"/>
              </w:rPr>
              <w:t>304</w:t>
            </w:r>
          </w:p>
        </w:tc>
        <w:tc>
          <w:tcPr>
            <w:tcW w:w="1135" w:type="dxa"/>
            <w:vAlign w:val="center"/>
          </w:tcPr>
          <w:p w14:paraId="34CBD2D8">
            <w:pPr>
              <w:jc w:val="center"/>
              <w:rPr>
                <w:rFonts w:ascii="宋体" w:hAnsi="宋体"/>
                <w:szCs w:val="21"/>
                <w:highlight w:val="none"/>
              </w:rPr>
            </w:pPr>
            <w:r>
              <w:rPr>
                <w:rFonts w:hint="eastAsia" w:ascii="宋体" w:hAnsi="宋体"/>
                <w:szCs w:val="21"/>
                <w:highlight w:val="none"/>
              </w:rPr>
              <w:t>广东</w:t>
            </w:r>
          </w:p>
          <w:p w14:paraId="32E2365A">
            <w:pPr>
              <w:jc w:val="center"/>
              <w:rPr>
                <w:rFonts w:ascii="宋体" w:hAnsi="宋体"/>
                <w:szCs w:val="21"/>
                <w:highlight w:val="none"/>
              </w:rPr>
            </w:pPr>
            <w:r>
              <w:rPr>
                <w:rFonts w:hint="eastAsia" w:ascii="宋体" w:hAnsi="宋体"/>
                <w:szCs w:val="21"/>
                <w:highlight w:val="none"/>
              </w:rPr>
              <w:t>广东</w:t>
            </w:r>
          </w:p>
          <w:p w14:paraId="4C8438C1">
            <w:pPr>
              <w:jc w:val="center"/>
              <w:rPr>
                <w:rFonts w:ascii="宋体" w:hAnsi="宋体"/>
                <w:szCs w:val="21"/>
                <w:highlight w:val="none"/>
              </w:rPr>
            </w:pPr>
            <w:r>
              <w:rPr>
                <w:rFonts w:hint="eastAsia" w:ascii="宋体" w:hAnsi="宋体"/>
                <w:szCs w:val="21"/>
                <w:highlight w:val="none"/>
              </w:rPr>
              <w:t>湖北</w:t>
            </w:r>
          </w:p>
        </w:tc>
      </w:tr>
      <w:tr w14:paraId="644920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747B800F">
            <w:pPr>
              <w:jc w:val="center"/>
              <w:rPr>
                <w:rFonts w:ascii="宋体" w:hAnsi="宋体"/>
                <w:szCs w:val="21"/>
                <w:highlight w:val="none"/>
              </w:rPr>
            </w:pPr>
          </w:p>
        </w:tc>
        <w:tc>
          <w:tcPr>
            <w:tcW w:w="835" w:type="dxa"/>
            <w:vMerge w:val="continue"/>
            <w:vAlign w:val="center"/>
          </w:tcPr>
          <w:p w14:paraId="3E8B64C2">
            <w:pPr>
              <w:jc w:val="center"/>
              <w:rPr>
                <w:rFonts w:ascii="宋体" w:hAnsi="宋体"/>
                <w:szCs w:val="21"/>
                <w:highlight w:val="none"/>
              </w:rPr>
            </w:pPr>
          </w:p>
        </w:tc>
        <w:tc>
          <w:tcPr>
            <w:tcW w:w="2411" w:type="dxa"/>
            <w:vAlign w:val="center"/>
          </w:tcPr>
          <w:p w14:paraId="5180A25A">
            <w:pPr>
              <w:jc w:val="center"/>
              <w:rPr>
                <w:rFonts w:ascii="宋体" w:hAnsi="宋体"/>
                <w:szCs w:val="21"/>
                <w:highlight w:val="none"/>
              </w:rPr>
            </w:pPr>
            <w:r>
              <w:rPr>
                <w:rFonts w:hint="eastAsia" w:ascii="宋体" w:hAnsi="宋体"/>
                <w:szCs w:val="21"/>
                <w:highlight w:val="none"/>
              </w:rPr>
              <w:t>地弹簧、闭门器</w:t>
            </w:r>
          </w:p>
        </w:tc>
        <w:tc>
          <w:tcPr>
            <w:tcW w:w="1677" w:type="dxa"/>
            <w:vAlign w:val="center"/>
          </w:tcPr>
          <w:p w14:paraId="24ED1BF7">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44D36D02">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21C70B70">
            <w:pPr>
              <w:jc w:val="center"/>
              <w:rPr>
                <w:rFonts w:ascii="宋体" w:hAnsi="宋体"/>
                <w:szCs w:val="21"/>
                <w:highlight w:val="none"/>
              </w:rPr>
            </w:pPr>
            <w:r>
              <w:rPr>
                <w:rFonts w:hint="eastAsia" w:ascii="宋体" w:hAnsi="宋体"/>
                <w:szCs w:val="21"/>
                <w:highlight w:val="none"/>
              </w:rPr>
              <w:t>皇冠</w:t>
            </w:r>
          </w:p>
          <w:p w14:paraId="554D9325">
            <w:pPr>
              <w:jc w:val="center"/>
              <w:rPr>
                <w:rFonts w:ascii="宋体" w:hAnsi="宋体"/>
                <w:szCs w:val="21"/>
                <w:highlight w:val="none"/>
              </w:rPr>
            </w:pPr>
            <w:r>
              <w:rPr>
                <w:rFonts w:hint="eastAsia" w:ascii="宋体" w:hAnsi="宋体"/>
                <w:szCs w:val="21"/>
                <w:highlight w:val="none"/>
              </w:rPr>
              <w:t>多玛</w:t>
            </w:r>
          </w:p>
          <w:p w14:paraId="4A3EE641">
            <w:pPr>
              <w:jc w:val="center"/>
              <w:rPr>
                <w:rFonts w:ascii="宋体" w:hAnsi="宋体"/>
                <w:szCs w:val="21"/>
                <w:highlight w:val="none"/>
              </w:rPr>
            </w:pPr>
            <w:r>
              <w:rPr>
                <w:rFonts w:hint="eastAsia" w:ascii="宋体" w:hAnsi="宋体"/>
                <w:szCs w:val="21"/>
                <w:highlight w:val="none"/>
              </w:rPr>
              <w:t>坚朗</w:t>
            </w:r>
          </w:p>
        </w:tc>
        <w:tc>
          <w:tcPr>
            <w:tcW w:w="1153" w:type="dxa"/>
            <w:vAlign w:val="center"/>
          </w:tcPr>
          <w:p w14:paraId="40FFEC35">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61216EAE">
            <w:pPr>
              <w:jc w:val="center"/>
              <w:rPr>
                <w:rFonts w:ascii="宋体" w:hAnsi="宋体"/>
                <w:szCs w:val="21"/>
                <w:highlight w:val="none"/>
              </w:rPr>
            </w:pPr>
            <w:r>
              <w:rPr>
                <w:rFonts w:hint="eastAsia" w:ascii="宋体" w:hAnsi="宋体"/>
                <w:szCs w:val="21"/>
                <w:highlight w:val="none"/>
              </w:rPr>
              <w:t>上海</w:t>
            </w:r>
          </w:p>
          <w:p w14:paraId="701A2C9B">
            <w:pPr>
              <w:jc w:val="center"/>
              <w:rPr>
                <w:rFonts w:ascii="宋体" w:hAnsi="宋体"/>
                <w:szCs w:val="21"/>
                <w:highlight w:val="none"/>
              </w:rPr>
            </w:pPr>
            <w:r>
              <w:rPr>
                <w:rFonts w:hint="eastAsia" w:ascii="宋体" w:hAnsi="宋体"/>
                <w:szCs w:val="21"/>
                <w:highlight w:val="none"/>
              </w:rPr>
              <w:t>苏州</w:t>
            </w:r>
          </w:p>
          <w:p w14:paraId="762AC037">
            <w:pPr>
              <w:jc w:val="center"/>
              <w:rPr>
                <w:rFonts w:ascii="宋体" w:hAnsi="宋体"/>
                <w:szCs w:val="21"/>
                <w:highlight w:val="none"/>
              </w:rPr>
            </w:pPr>
            <w:r>
              <w:rPr>
                <w:rFonts w:hint="eastAsia" w:ascii="宋体" w:hAnsi="宋体"/>
                <w:szCs w:val="21"/>
                <w:highlight w:val="none"/>
              </w:rPr>
              <w:t>东莞</w:t>
            </w:r>
          </w:p>
        </w:tc>
      </w:tr>
      <w:tr w14:paraId="2D70DF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30FD8712">
            <w:pPr>
              <w:jc w:val="center"/>
              <w:rPr>
                <w:rFonts w:ascii="宋体" w:hAnsi="宋体"/>
                <w:szCs w:val="21"/>
                <w:highlight w:val="none"/>
              </w:rPr>
            </w:pPr>
          </w:p>
        </w:tc>
        <w:tc>
          <w:tcPr>
            <w:tcW w:w="835" w:type="dxa"/>
            <w:vMerge w:val="continue"/>
            <w:vAlign w:val="center"/>
          </w:tcPr>
          <w:p w14:paraId="554740AF">
            <w:pPr>
              <w:jc w:val="center"/>
              <w:rPr>
                <w:rFonts w:ascii="宋体" w:hAnsi="宋体"/>
                <w:szCs w:val="21"/>
                <w:highlight w:val="none"/>
              </w:rPr>
            </w:pPr>
          </w:p>
        </w:tc>
        <w:tc>
          <w:tcPr>
            <w:tcW w:w="2411" w:type="dxa"/>
            <w:vAlign w:val="center"/>
          </w:tcPr>
          <w:p w14:paraId="1A75D174">
            <w:pPr>
              <w:jc w:val="center"/>
              <w:rPr>
                <w:rFonts w:ascii="宋体" w:hAnsi="宋体"/>
                <w:szCs w:val="21"/>
                <w:highlight w:val="none"/>
              </w:rPr>
            </w:pPr>
            <w:r>
              <w:rPr>
                <w:rFonts w:hint="eastAsia" w:ascii="宋体" w:hAnsi="宋体"/>
                <w:szCs w:val="21"/>
                <w:highlight w:val="none"/>
              </w:rPr>
              <w:t>防弹玻璃</w:t>
            </w:r>
          </w:p>
        </w:tc>
        <w:tc>
          <w:tcPr>
            <w:tcW w:w="1677" w:type="dxa"/>
            <w:vAlign w:val="center"/>
          </w:tcPr>
          <w:p w14:paraId="4C7BCE48">
            <w:pPr>
              <w:jc w:val="center"/>
              <w:rPr>
                <w:rFonts w:ascii="宋体" w:hAnsi="宋体"/>
                <w:szCs w:val="21"/>
                <w:highlight w:val="none"/>
              </w:rPr>
            </w:pPr>
            <w:r>
              <w:rPr>
                <w:rFonts w:hint="eastAsia" w:ascii="宋体" w:hAnsi="宋体"/>
                <w:szCs w:val="21"/>
                <w:highlight w:val="none"/>
              </w:rPr>
              <w:t>按图</w:t>
            </w:r>
          </w:p>
        </w:tc>
        <w:tc>
          <w:tcPr>
            <w:tcW w:w="839" w:type="dxa"/>
            <w:vAlign w:val="center"/>
          </w:tcPr>
          <w:p w14:paraId="6F2E2C28">
            <w:pPr>
              <w:jc w:val="center"/>
              <w:rPr>
                <w:rFonts w:ascii="宋体" w:hAnsi="宋体"/>
                <w:szCs w:val="21"/>
                <w:highlight w:val="none"/>
              </w:rPr>
            </w:pPr>
            <w:r>
              <w:rPr>
                <w:rFonts w:hint="eastAsia" w:ascii="宋体" w:hAnsi="宋体"/>
                <w:szCs w:val="21"/>
                <w:highlight w:val="none"/>
              </w:rPr>
              <w:t>按图</w:t>
            </w:r>
          </w:p>
        </w:tc>
        <w:tc>
          <w:tcPr>
            <w:tcW w:w="1494" w:type="dxa"/>
            <w:vAlign w:val="center"/>
          </w:tcPr>
          <w:p w14:paraId="725D8B69">
            <w:pPr>
              <w:jc w:val="center"/>
              <w:rPr>
                <w:rFonts w:ascii="宋体" w:hAnsi="宋体"/>
                <w:szCs w:val="21"/>
                <w:highlight w:val="none"/>
              </w:rPr>
            </w:pPr>
            <w:r>
              <w:rPr>
                <w:rFonts w:hint="eastAsia" w:ascii="宋体" w:hAnsi="宋体"/>
                <w:szCs w:val="21"/>
                <w:highlight w:val="none"/>
              </w:rPr>
              <w:t>兴华</w:t>
            </w:r>
          </w:p>
          <w:p w14:paraId="1FEC23D3">
            <w:pPr>
              <w:jc w:val="center"/>
              <w:rPr>
                <w:rFonts w:ascii="宋体" w:hAnsi="宋体"/>
                <w:szCs w:val="21"/>
                <w:highlight w:val="none"/>
              </w:rPr>
            </w:pPr>
            <w:r>
              <w:rPr>
                <w:rFonts w:hint="eastAsia" w:ascii="宋体" w:hAnsi="宋体"/>
                <w:szCs w:val="21"/>
                <w:highlight w:val="none"/>
              </w:rPr>
              <w:t>燎源</w:t>
            </w:r>
          </w:p>
        </w:tc>
        <w:tc>
          <w:tcPr>
            <w:tcW w:w="1153" w:type="dxa"/>
            <w:vAlign w:val="center"/>
          </w:tcPr>
          <w:p w14:paraId="06283A27">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39AB2194">
            <w:pPr>
              <w:jc w:val="center"/>
              <w:rPr>
                <w:rFonts w:ascii="宋体" w:hAnsi="宋体"/>
                <w:szCs w:val="21"/>
                <w:highlight w:val="none"/>
              </w:rPr>
            </w:pPr>
            <w:r>
              <w:rPr>
                <w:rFonts w:hint="eastAsia" w:ascii="宋体" w:hAnsi="宋体"/>
                <w:szCs w:val="21"/>
                <w:highlight w:val="none"/>
              </w:rPr>
              <w:t>广州</w:t>
            </w:r>
          </w:p>
          <w:p w14:paraId="6B6ACF7F">
            <w:pPr>
              <w:jc w:val="center"/>
              <w:rPr>
                <w:rFonts w:ascii="宋体" w:hAnsi="宋体"/>
                <w:szCs w:val="21"/>
                <w:highlight w:val="none"/>
              </w:rPr>
            </w:pPr>
            <w:r>
              <w:rPr>
                <w:rFonts w:hint="eastAsia" w:ascii="宋体" w:hAnsi="宋体"/>
                <w:szCs w:val="21"/>
                <w:highlight w:val="none"/>
              </w:rPr>
              <w:t>深圳</w:t>
            </w:r>
          </w:p>
        </w:tc>
      </w:tr>
      <w:tr w14:paraId="702169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423" w:type="dxa"/>
            <w:vMerge w:val="continue"/>
            <w:vAlign w:val="center"/>
          </w:tcPr>
          <w:p w14:paraId="5BCC9BA2">
            <w:pPr>
              <w:jc w:val="center"/>
              <w:rPr>
                <w:rFonts w:ascii="宋体" w:hAnsi="宋体"/>
                <w:szCs w:val="21"/>
                <w:highlight w:val="none"/>
              </w:rPr>
            </w:pPr>
          </w:p>
        </w:tc>
        <w:tc>
          <w:tcPr>
            <w:tcW w:w="835" w:type="dxa"/>
            <w:vMerge w:val="continue"/>
            <w:vAlign w:val="center"/>
          </w:tcPr>
          <w:p w14:paraId="0CF247E6">
            <w:pPr>
              <w:jc w:val="center"/>
              <w:rPr>
                <w:rFonts w:ascii="宋体" w:hAnsi="宋体"/>
                <w:szCs w:val="21"/>
                <w:highlight w:val="none"/>
              </w:rPr>
            </w:pPr>
          </w:p>
        </w:tc>
        <w:tc>
          <w:tcPr>
            <w:tcW w:w="2411" w:type="dxa"/>
            <w:vAlign w:val="center"/>
          </w:tcPr>
          <w:p w14:paraId="76408C7B">
            <w:pPr>
              <w:jc w:val="center"/>
              <w:rPr>
                <w:rFonts w:ascii="宋体" w:hAnsi="宋体"/>
                <w:szCs w:val="21"/>
                <w:highlight w:val="none"/>
              </w:rPr>
            </w:pPr>
            <w:r>
              <w:rPr>
                <w:rFonts w:hint="eastAsia" w:ascii="宋体" w:hAnsi="宋体"/>
                <w:szCs w:val="21"/>
                <w:highlight w:val="none"/>
              </w:rPr>
              <w:t>防水卷材</w:t>
            </w:r>
          </w:p>
        </w:tc>
        <w:tc>
          <w:tcPr>
            <w:tcW w:w="1677" w:type="dxa"/>
            <w:vAlign w:val="center"/>
          </w:tcPr>
          <w:p w14:paraId="5D2373D3">
            <w:pPr>
              <w:jc w:val="center"/>
              <w:rPr>
                <w:highlight w:val="none"/>
              </w:rPr>
            </w:pPr>
            <w:r>
              <w:rPr>
                <w:rFonts w:hint="eastAsia" w:ascii="宋体" w:hAnsi="宋体"/>
                <w:szCs w:val="21"/>
                <w:highlight w:val="none"/>
              </w:rPr>
              <w:t>按图</w:t>
            </w:r>
          </w:p>
        </w:tc>
        <w:tc>
          <w:tcPr>
            <w:tcW w:w="839" w:type="dxa"/>
            <w:vAlign w:val="center"/>
          </w:tcPr>
          <w:p w14:paraId="3953A97D">
            <w:pPr>
              <w:jc w:val="center"/>
              <w:rPr>
                <w:highlight w:val="none"/>
              </w:rPr>
            </w:pPr>
            <w:r>
              <w:rPr>
                <w:rFonts w:hint="eastAsia" w:ascii="宋体" w:hAnsi="宋体"/>
                <w:szCs w:val="21"/>
                <w:highlight w:val="none"/>
              </w:rPr>
              <w:t>按图</w:t>
            </w:r>
          </w:p>
        </w:tc>
        <w:tc>
          <w:tcPr>
            <w:tcW w:w="1494" w:type="dxa"/>
            <w:vAlign w:val="center"/>
          </w:tcPr>
          <w:p w14:paraId="557A7AA4">
            <w:pPr>
              <w:jc w:val="center"/>
              <w:rPr>
                <w:rFonts w:ascii="宋体" w:hAnsi="宋体"/>
                <w:szCs w:val="21"/>
                <w:highlight w:val="none"/>
              </w:rPr>
            </w:pPr>
            <w:r>
              <w:rPr>
                <w:rFonts w:hint="eastAsia" w:ascii="宋体" w:hAnsi="宋体"/>
                <w:szCs w:val="21"/>
                <w:highlight w:val="none"/>
              </w:rPr>
              <w:t>东方雨虹</w:t>
            </w:r>
          </w:p>
          <w:p w14:paraId="5C8CE383">
            <w:pPr>
              <w:jc w:val="center"/>
              <w:rPr>
                <w:rFonts w:ascii="宋体" w:hAnsi="宋体"/>
                <w:szCs w:val="21"/>
                <w:highlight w:val="none"/>
              </w:rPr>
            </w:pPr>
            <w:r>
              <w:rPr>
                <w:rFonts w:hint="eastAsia" w:ascii="宋体" w:hAnsi="宋体"/>
                <w:szCs w:val="21"/>
                <w:highlight w:val="none"/>
              </w:rPr>
              <w:t>深圳卓宝</w:t>
            </w:r>
          </w:p>
          <w:p w14:paraId="0A28F16F">
            <w:pPr>
              <w:jc w:val="center"/>
              <w:rPr>
                <w:rFonts w:ascii="宋体" w:hAnsi="宋体"/>
                <w:szCs w:val="21"/>
                <w:highlight w:val="none"/>
              </w:rPr>
            </w:pPr>
            <w:r>
              <w:rPr>
                <w:rFonts w:hint="eastAsia" w:ascii="宋体" w:hAnsi="宋体"/>
                <w:szCs w:val="21"/>
                <w:highlight w:val="none"/>
              </w:rPr>
              <w:t>广州大禹</w:t>
            </w:r>
          </w:p>
        </w:tc>
        <w:tc>
          <w:tcPr>
            <w:tcW w:w="1153" w:type="dxa"/>
            <w:vAlign w:val="center"/>
          </w:tcPr>
          <w:p w14:paraId="55A97191">
            <w:pPr>
              <w:jc w:val="center"/>
              <w:rPr>
                <w:rFonts w:ascii="宋体" w:hAnsi="宋体"/>
                <w:szCs w:val="21"/>
                <w:highlight w:val="none"/>
              </w:rPr>
            </w:pPr>
            <w:r>
              <w:rPr>
                <w:rFonts w:hint="eastAsia" w:ascii="宋体" w:hAnsi="宋体"/>
                <w:szCs w:val="21"/>
                <w:highlight w:val="none"/>
              </w:rPr>
              <w:t>优等</w:t>
            </w:r>
          </w:p>
        </w:tc>
        <w:tc>
          <w:tcPr>
            <w:tcW w:w="1135" w:type="dxa"/>
            <w:vAlign w:val="center"/>
          </w:tcPr>
          <w:p w14:paraId="15FB649C">
            <w:pPr>
              <w:jc w:val="center"/>
              <w:rPr>
                <w:rFonts w:ascii="宋体" w:hAnsi="宋体"/>
                <w:szCs w:val="21"/>
                <w:highlight w:val="none"/>
              </w:rPr>
            </w:pPr>
            <w:r>
              <w:rPr>
                <w:rFonts w:hint="eastAsia" w:ascii="宋体" w:hAnsi="宋体"/>
                <w:szCs w:val="21"/>
                <w:highlight w:val="none"/>
              </w:rPr>
              <w:t>北京</w:t>
            </w:r>
          </w:p>
          <w:p w14:paraId="48DB29FE">
            <w:pPr>
              <w:jc w:val="center"/>
              <w:rPr>
                <w:rFonts w:ascii="宋体" w:hAnsi="宋体"/>
                <w:szCs w:val="21"/>
                <w:highlight w:val="none"/>
              </w:rPr>
            </w:pPr>
            <w:r>
              <w:rPr>
                <w:rFonts w:hint="eastAsia" w:ascii="宋体" w:hAnsi="宋体"/>
                <w:szCs w:val="21"/>
                <w:highlight w:val="none"/>
              </w:rPr>
              <w:t>深圳</w:t>
            </w:r>
          </w:p>
          <w:p w14:paraId="766050DF">
            <w:pPr>
              <w:jc w:val="center"/>
              <w:rPr>
                <w:rFonts w:ascii="宋体" w:hAnsi="宋体"/>
                <w:szCs w:val="21"/>
                <w:highlight w:val="none"/>
              </w:rPr>
            </w:pPr>
            <w:r>
              <w:rPr>
                <w:rFonts w:hint="eastAsia" w:ascii="宋体" w:hAnsi="宋体"/>
                <w:szCs w:val="21"/>
                <w:highlight w:val="none"/>
              </w:rPr>
              <w:t>广州</w:t>
            </w:r>
          </w:p>
        </w:tc>
      </w:tr>
    </w:tbl>
    <w:p w14:paraId="7D06D9EA">
      <w:pPr>
        <w:rPr>
          <w:highlight w:val="none"/>
        </w:rPr>
      </w:pPr>
    </w:p>
    <w:p w14:paraId="320C16B1">
      <w:pPr>
        <w:rPr>
          <w:highlight w:val="none"/>
        </w:rPr>
      </w:pPr>
    </w:p>
    <w:p w14:paraId="4F8BA275">
      <w:pPr>
        <w:pStyle w:val="37"/>
        <w:ind w:firstLine="420"/>
        <w:rPr>
          <w:highlight w:val="none"/>
        </w:rPr>
      </w:pPr>
    </w:p>
    <w:p w14:paraId="04A46B5D">
      <w:pPr>
        <w:pStyle w:val="37"/>
        <w:ind w:firstLine="420"/>
        <w:rPr>
          <w:highlight w:val="none"/>
        </w:rPr>
      </w:pPr>
    </w:p>
    <w:p w14:paraId="0797C52E">
      <w:pPr>
        <w:pStyle w:val="37"/>
        <w:ind w:firstLine="420"/>
        <w:rPr>
          <w:highlight w:val="none"/>
        </w:rPr>
      </w:pPr>
    </w:p>
    <w:p w14:paraId="347EB321">
      <w:pPr>
        <w:pStyle w:val="37"/>
        <w:ind w:firstLine="420"/>
        <w:rPr>
          <w:highlight w:val="none"/>
        </w:rPr>
      </w:pPr>
    </w:p>
    <w:p w14:paraId="59949D34">
      <w:pPr>
        <w:pStyle w:val="37"/>
        <w:ind w:firstLine="420"/>
        <w:rPr>
          <w:highlight w:val="none"/>
        </w:rPr>
      </w:pPr>
    </w:p>
    <w:p w14:paraId="57BBF207">
      <w:pPr>
        <w:pStyle w:val="37"/>
        <w:ind w:firstLine="420"/>
        <w:rPr>
          <w:highlight w:val="none"/>
        </w:rPr>
      </w:pPr>
    </w:p>
    <w:p w14:paraId="3346FB68">
      <w:pPr>
        <w:pStyle w:val="37"/>
        <w:ind w:firstLine="420"/>
        <w:rPr>
          <w:highlight w:val="none"/>
        </w:rPr>
      </w:pPr>
    </w:p>
    <w:p w14:paraId="5B972FFA">
      <w:pPr>
        <w:pStyle w:val="37"/>
        <w:ind w:firstLine="420"/>
        <w:rPr>
          <w:highlight w:val="none"/>
        </w:rPr>
      </w:pPr>
    </w:p>
    <w:p w14:paraId="335FE261">
      <w:pPr>
        <w:pStyle w:val="37"/>
        <w:ind w:firstLine="420"/>
        <w:rPr>
          <w:highlight w:val="none"/>
        </w:rPr>
      </w:pPr>
    </w:p>
    <w:p w14:paraId="122B8D5F">
      <w:pPr>
        <w:pStyle w:val="37"/>
        <w:ind w:firstLine="420"/>
        <w:rPr>
          <w:highlight w:val="none"/>
        </w:rPr>
      </w:pPr>
    </w:p>
    <w:p w14:paraId="43C57699">
      <w:pPr>
        <w:pStyle w:val="37"/>
        <w:ind w:firstLine="420"/>
        <w:rPr>
          <w:highlight w:val="none"/>
        </w:rPr>
      </w:pPr>
    </w:p>
    <w:p w14:paraId="1F8EB360">
      <w:pPr>
        <w:pStyle w:val="37"/>
        <w:ind w:firstLine="420"/>
        <w:rPr>
          <w:highlight w:val="none"/>
        </w:rPr>
      </w:pPr>
    </w:p>
    <w:p w14:paraId="54CD92D2">
      <w:pPr>
        <w:pStyle w:val="37"/>
        <w:ind w:firstLine="420"/>
        <w:rPr>
          <w:highlight w:val="none"/>
        </w:rPr>
      </w:pPr>
    </w:p>
    <w:p w14:paraId="4BBF9307">
      <w:pPr>
        <w:pStyle w:val="37"/>
        <w:ind w:firstLine="420"/>
        <w:rPr>
          <w:highlight w:val="none"/>
        </w:rPr>
      </w:pPr>
    </w:p>
    <w:p w14:paraId="57846B84">
      <w:pPr>
        <w:pStyle w:val="37"/>
        <w:ind w:firstLine="420"/>
        <w:rPr>
          <w:highlight w:val="none"/>
        </w:rPr>
      </w:pPr>
    </w:p>
    <w:p w14:paraId="1BDE4056">
      <w:pPr>
        <w:pStyle w:val="37"/>
        <w:ind w:firstLine="420"/>
        <w:rPr>
          <w:highlight w:val="none"/>
        </w:rPr>
      </w:pPr>
    </w:p>
    <w:p w14:paraId="56C69246">
      <w:pPr>
        <w:pStyle w:val="37"/>
        <w:ind w:firstLine="420"/>
        <w:rPr>
          <w:highlight w:val="none"/>
        </w:rPr>
      </w:pPr>
    </w:p>
    <w:p w14:paraId="61C4A6F3">
      <w:pPr>
        <w:pStyle w:val="37"/>
        <w:ind w:firstLine="420"/>
        <w:rPr>
          <w:highlight w:val="none"/>
        </w:rPr>
      </w:pPr>
    </w:p>
    <w:p w14:paraId="1F706E1F">
      <w:pPr>
        <w:pStyle w:val="37"/>
        <w:ind w:firstLine="420"/>
        <w:rPr>
          <w:highlight w:val="none"/>
        </w:rPr>
      </w:pPr>
    </w:p>
    <w:p w14:paraId="24270C38">
      <w:pPr>
        <w:pStyle w:val="37"/>
        <w:ind w:firstLine="420"/>
        <w:rPr>
          <w:highlight w:val="none"/>
        </w:rPr>
      </w:pPr>
    </w:p>
    <w:p w14:paraId="0BF07A28">
      <w:pPr>
        <w:pStyle w:val="37"/>
        <w:ind w:firstLine="420"/>
        <w:rPr>
          <w:highlight w:val="none"/>
        </w:rPr>
      </w:pPr>
    </w:p>
    <w:p w14:paraId="7D10487E">
      <w:pPr>
        <w:pStyle w:val="37"/>
        <w:ind w:firstLine="420"/>
        <w:rPr>
          <w:highlight w:val="none"/>
        </w:rPr>
      </w:pPr>
    </w:p>
    <w:p w14:paraId="251A7FD5">
      <w:pPr>
        <w:pStyle w:val="37"/>
        <w:ind w:firstLine="420"/>
        <w:rPr>
          <w:highlight w:val="none"/>
        </w:rPr>
      </w:pPr>
    </w:p>
    <w:p w14:paraId="7E579C8C">
      <w:pPr>
        <w:pStyle w:val="37"/>
        <w:ind w:firstLine="420"/>
        <w:rPr>
          <w:highlight w:val="none"/>
        </w:rPr>
      </w:pPr>
    </w:p>
    <w:p w14:paraId="19B63238">
      <w:pPr>
        <w:pStyle w:val="37"/>
        <w:ind w:firstLine="420"/>
        <w:rPr>
          <w:highlight w:val="none"/>
        </w:rPr>
      </w:pPr>
    </w:p>
    <w:p w14:paraId="01C6FFFE">
      <w:pPr>
        <w:pStyle w:val="37"/>
        <w:ind w:firstLine="420"/>
        <w:rPr>
          <w:highlight w:val="none"/>
        </w:rPr>
      </w:pPr>
    </w:p>
    <w:p w14:paraId="005FBA68">
      <w:pPr>
        <w:pStyle w:val="37"/>
        <w:ind w:firstLine="420"/>
        <w:rPr>
          <w:highlight w:val="none"/>
        </w:rPr>
      </w:pPr>
    </w:p>
    <w:p w14:paraId="2C1767E9">
      <w:pPr>
        <w:pStyle w:val="37"/>
        <w:ind w:firstLine="420"/>
        <w:rPr>
          <w:highlight w:val="none"/>
        </w:rPr>
      </w:pPr>
    </w:p>
    <w:p w14:paraId="2F95E876">
      <w:pPr>
        <w:pStyle w:val="37"/>
        <w:ind w:firstLine="420"/>
        <w:rPr>
          <w:highlight w:val="none"/>
        </w:rPr>
      </w:pPr>
    </w:p>
    <w:p w14:paraId="5AE43E7F">
      <w:pPr>
        <w:pStyle w:val="37"/>
        <w:ind w:firstLine="420"/>
        <w:rPr>
          <w:highlight w:val="none"/>
        </w:rPr>
      </w:pPr>
    </w:p>
    <w:p w14:paraId="1F43B2FE">
      <w:pPr>
        <w:pStyle w:val="37"/>
        <w:ind w:firstLine="420"/>
        <w:rPr>
          <w:highlight w:val="none"/>
        </w:rPr>
      </w:pPr>
    </w:p>
    <w:p w14:paraId="41B3C047">
      <w:pPr>
        <w:pStyle w:val="37"/>
        <w:ind w:firstLine="420"/>
        <w:rPr>
          <w:highlight w:val="none"/>
        </w:rPr>
      </w:pPr>
    </w:p>
    <w:p w14:paraId="2A6F18DF">
      <w:pPr>
        <w:pStyle w:val="37"/>
        <w:ind w:firstLine="420"/>
        <w:rPr>
          <w:highlight w:val="none"/>
        </w:rPr>
      </w:pPr>
    </w:p>
    <w:p w14:paraId="5B6B85B7">
      <w:pPr>
        <w:pStyle w:val="37"/>
        <w:ind w:firstLine="420"/>
        <w:rPr>
          <w:highlight w:val="none"/>
        </w:rPr>
      </w:pPr>
    </w:p>
    <w:p w14:paraId="0A912749">
      <w:pPr>
        <w:pStyle w:val="10"/>
        <w:rPr>
          <w:highlight w:val="none"/>
        </w:rPr>
      </w:pPr>
    </w:p>
    <w:p w14:paraId="476ECAAC">
      <w:pPr>
        <w:keepNext/>
        <w:keepLines/>
        <w:jc w:val="center"/>
        <w:outlineLvl w:val="2"/>
        <w:rPr>
          <w:b/>
          <w:bCs/>
          <w:sz w:val="24"/>
          <w:szCs w:val="32"/>
          <w:highlight w:val="none"/>
        </w:rPr>
      </w:pPr>
      <w:bookmarkStart w:id="1068" w:name="_Toc188989176"/>
      <w:bookmarkStart w:id="1069" w:name="_Toc404592711"/>
      <w:bookmarkStart w:id="1070" w:name="_Toc404593069"/>
      <w:bookmarkStart w:id="1071" w:name="_Toc222777553"/>
      <w:bookmarkStart w:id="1072" w:name="_Toc374016685"/>
      <w:bookmarkStart w:id="1073" w:name="_Toc206142686"/>
      <w:r>
        <w:rPr>
          <w:rFonts w:hint="eastAsia"/>
          <w:b/>
          <w:bCs/>
          <w:sz w:val="24"/>
          <w:szCs w:val="32"/>
          <w:highlight w:val="none"/>
        </w:rPr>
        <w:t xml:space="preserve">附表二   </w:t>
      </w:r>
      <w:bookmarkEnd w:id="1068"/>
      <w:bookmarkEnd w:id="1069"/>
      <w:bookmarkEnd w:id="1070"/>
      <w:bookmarkEnd w:id="1071"/>
      <w:bookmarkEnd w:id="1072"/>
      <w:bookmarkEnd w:id="1073"/>
      <w:r>
        <w:rPr>
          <w:rFonts w:hint="eastAsia"/>
          <w:b/>
          <w:bCs/>
          <w:sz w:val="24"/>
          <w:szCs w:val="32"/>
          <w:highlight w:val="none"/>
        </w:rPr>
        <w:t>安装材料、设备明细表</w:t>
      </w:r>
    </w:p>
    <w:p w14:paraId="6775192C">
      <w:pPr>
        <w:rPr>
          <w:highlight w:val="none"/>
        </w:rPr>
      </w:pPr>
    </w:p>
    <w:tbl>
      <w:tblPr>
        <w:tblStyle w:val="22"/>
        <w:tblW w:w="97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7"/>
        <w:gridCol w:w="495"/>
        <w:gridCol w:w="236"/>
        <w:gridCol w:w="3398"/>
        <w:gridCol w:w="1800"/>
        <w:gridCol w:w="1328"/>
        <w:gridCol w:w="1050"/>
        <w:gridCol w:w="984"/>
        <w:gridCol w:w="9"/>
      </w:tblGrid>
      <w:tr w14:paraId="7E161F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477" w:type="dxa"/>
            <w:vMerge w:val="restart"/>
            <w:vAlign w:val="center"/>
          </w:tcPr>
          <w:p w14:paraId="31D2774C">
            <w:pPr>
              <w:jc w:val="center"/>
              <w:rPr>
                <w:rFonts w:ascii="宋体" w:hAnsi="宋体"/>
                <w:szCs w:val="21"/>
                <w:highlight w:val="none"/>
              </w:rPr>
            </w:pPr>
            <w:r>
              <w:rPr>
                <w:rFonts w:hint="eastAsia" w:ascii="宋体" w:hAnsi="宋体"/>
                <w:szCs w:val="21"/>
                <w:highlight w:val="none"/>
              </w:rPr>
              <w:t>拟建项目施工图内容</w:t>
            </w:r>
          </w:p>
        </w:tc>
        <w:tc>
          <w:tcPr>
            <w:tcW w:w="731" w:type="dxa"/>
            <w:gridSpan w:val="2"/>
            <w:vAlign w:val="center"/>
          </w:tcPr>
          <w:p w14:paraId="7F9DC167">
            <w:pPr>
              <w:jc w:val="center"/>
              <w:rPr>
                <w:rFonts w:ascii="宋体" w:hAnsi="宋体"/>
                <w:szCs w:val="21"/>
                <w:highlight w:val="none"/>
              </w:rPr>
            </w:pPr>
            <w:r>
              <w:rPr>
                <w:rFonts w:hint="eastAsia" w:ascii="宋体" w:hAnsi="宋体"/>
                <w:szCs w:val="21"/>
                <w:highlight w:val="none"/>
              </w:rPr>
              <w:t>项目名称</w:t>
            </w:r>
          </w:p>
        </w:tc>
        <w:tc>
          <w:tcPr>
            <w:tcW w:w="3398" w:type="dxa"/>
            <w:vAlign w:val="center"/>
          </w:tcPr>
          <w:p w14:paraId="197FBA7D">
            <w:pPr>
              <w:jc w:val="center"/>
              <w:rPr>
                <w:rFonts w:ascii="宋体" w:hAnsi="宋体"/>
                <w:szCs w:val="21"/>
                <w:highlight w:val="none"/>
              </w:rPr>
            </w:pPr>
            <w:r>
              <w:rPr>
                <w:rFonts w:hint="eastAsia" w:ascii="宋体" w:hAnsi="宋体"/>
                <w:szCs w:val="21"/>
                <w:highlight w:val="none"/>
              </w:rPr>
              <w:t>材料、设备名称</w:t>
            </w:r>
          </w:p>
        </w:tc>
        <w:tc>
          <w:tcPr>
            <w:tcW w:w="1800" w:type="dxa"/>
            <w:vAlign w:val="center"/>
          </w:tcPr>
          <w:p w14:paraId="6548393E">
            <w:pPr>
              <w:jc w:val="center"/>
              <w:rPr>
                <w:rFonts w:ascii="宋体" w:hAnsi="宋体"/>
                <w:szCs w:val="21"/>
                <w:highlight w:val="none"/>
              </w:rPr>
            </w:pPr>
            <w:r>
              <w:rPr>
                <w:rFonts w:hint="eastAsia" w:ascii="宋体" w:hAnsi="宋体"/>
                <w:szCs w:val="21"/>
                <w:highlight w:val="none"/>
              </w:rPr>
              <w:t>规格</w:t>
            </w:r>
          </w:p>
        </w:tc>
        <w:tc>
          <w:tcPr>
            <w:tcW w:w="1328" w:type="dxa"/>
            <w:vAlign w:val="center"/>
          </w:tcPr>
          <w:p w14:paraId="21AA5187">
            <w:pPr>
              <w:jc w:val="center"/>
              <w:rPr>
                <w:rFonts w:ascii="宋体" w:hAnsi="宋体"/>
                <w:szCs w:val="21"/>
                <w:highlight w:val="none"/>
              </w:rPr>
            </w:pPr>
            <w:r>
              <w:rPr>
                <w:rFonts w:hint="eastAsia" w:ascii="宋体" w:hAnsi="宋体"/>
                <w:szCs w:val="21"/>
                <w:highlight w:val="none"/>
              </w:rPr>
              <w:t>品牌</w:t>
            </w:r>
          </w:p>
        </w:tc>
        <w:tc>
          <w:tcPr>
            <w:tcW w:w="1050" w:type="dxa"/>
            <w:vAlign w:val="center"/>
          </w:tcPr>
          <w:p w14:paraId="6A5B5830">
            <w:pPr>
              <w:jc w:val="center"/>
              <w:rPr>
                <w:rFonts w:ascii="宋体" w:hAnsi="宋体"/>
                <w:szCs w:val="21"/>
                <w:highlight w:val="none"/>
              </w:rPr>
            </w:pPr>
            <w:r>
              <w:rPr>
                <w:rFonts w:hint="eastAsia" w:ascii="宋体" w:hAnsi="宋体"/>
                <w:szCs w:val="21"/>
                <w:highlight w:val="none"/>
              </w:rPr>
              <w:t>等级</w:t>
            </w:r>
          </w:p>
        </w:tc>
        <w:tc>
          <w:tcPr>
            <w:tcW w:w="993" w:type="dxa"/>
            <w:gridSpan w:val="2"/>
            <w:vAlign w:val="center"/>
          </w:tcPr>
          <w:p w14:paraId="65521DAE">
            <w:pPr>
              <w:jc w:val="center"/>
              <w:rPr>
                <w:rFonts w:ascii="宋体" w:hAnsi="宋体"/>
                <w:szCs w:val="21"/>
                <w:highlight w:val="none"/>
              </w:rPr>
            </w:pPr>
            <w:r>
              <w:rPr>
                <w:rFonts w:hint="eastAsia" w:ascii="宋体" w:hAnsi="宋体"/>
                <w:szCs w:val="21"/>
                <w:highlight w:val="none"/>
              </w:rPr>
              <w:t>产地</w:t>
            </w:r>
          </w:p>
        </w:tc>
      </w:tr>
      <w:tr w14:paraId="2FAA0F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58882B0F">
            <w:pPr>
              <w:jc w:val="center"/>
              <w:rPr>
                <w:rFonts w:ascii="宋体" w:hAnsi="宋体"/>
                <w:szCs w:val="21"/>
                <w:highlight w:val="none"/>
              </w:rPr>
            </w:pPr>
          </w:p>
        </w:tc>
        <w:tc>
          <w:tcPr>
            <w:tcW w:w="495" w:type="dxa"/>
            <w:vMerge w:val="restart"/>
            <w:tcBorders>
              <w:right w:val="nil"/>
            </w:tcBorders>
            <w:vAlign w:val="center"/>
          </w:tcPr>
          <w:p w14:paraId="5C184274">
            <w:pPr>
              <w:jc w:val="center"/>
              <w:rPr>
                <w:rFonts w:ascii="宋体" w:hAnsi="宋体"/>
                <w:szCs w:val="21"/>
                <w:highlight w:val="none"/>
              </w:rPr>
            </w:pPr>
          </w:p>
        </w:tc>
        <w:tc>
          <w:tcPr>
            <w:tcW w:w="236" w:type="dxa"/>
            <w:vMerge w:val="restart"/>
            <w:tcBorders>
              <w:left w:val="nil"/>
            </w:tcBorders>
            <w:vAlign w:val="center"/>
          </w:tcPr>
          <w:p w14:paraId="6E5A2719">
            <w:pPr>
              <w:jc w:val="center"/>
              <w:rPr>
                <w:rFonts w:ascii="宋体" w:hAnsi="宋体"/>
                <w:szCs w:val="21"/>
                <w:highlight w:val="none"/>
              </w:rPr>
            </w:pPr>
          </w:p>
        </w:tc>
        <w:tc>
          <w:tcPr>
            <w:tcW w:w="3398" w:type="dxa"/>
            <w:vAlign w:val="center"/>
          </w:tcPr>
          <w:p w14:paraId="16BC96BA">
            <w:pPr>
              <w:jc w:val="center"/>
              <w:rPr>
                <w:rFonts w:ascii="宋体" w:hAnsi="宋体"/>
                <w:szCs w:val="21"/>
                <w:highlight w:val="none"/>
              </w:rPr>
            </w:pPr>
            <w:r>
              <w:rPr>
                <w:rFonts w:hint="eastAsia" w:ascii="宋体" w:hAnsi="宋体"/>
                <w:szCs w:val="21"/>
                <w:highlight w:val="none"/>
              </w:rPr>
              <w:t>给排水塑料管</w:t>
            </w:r>
          </w:p>
        </w:tc>
        <w:tc>
          <w:tcPr>
            <w:tcW w:w="1800" w:type="dxa"/>
            <w:vAlign w:val="center"/>
          </w:tcPr>
          <w:p w14:paraId="31EE99AB">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3EABCB7F">
            <w:pPr>
              <w:jc w:val="center"/>
              <w:rPr>
                <w:rFonts w:ascii="宋体" w:hAnsi="宋体"/>
                <w:szCs w:val="21"/>
                <w:highlight w:val="none"/>
              </w:rPr>
            </w:pPr>
            <w:r>
              <w:rPr>
                <w:rFonts w:hint="eastAsia" w:ascii="宋体" w:hAnsi="宋体"/>
                <w:szCs w:val="21"/>
                <w:highlight w:val="none"/>
              </w:rPr>
              <w:t>联塑</w:t>
            </w:r>
          </w:p>
          <w:p w14:paraId="37224958">
            <w:pPr>
              <w:jc w:val="center"/>
              <w:rPr>
                <w:rFonts w:ascii="宋体" w:hAnsi="宋体"/>
                <w:szCs w:val="21"/>
                <w:highlight w:val="none"/>
              </w:rPr>
            </w:pPr>
            <w:r>
              <w:rPr>
                <w:rFonts w:hint="eastAsia" w:ascii="宋体" w:hAnsi="宋体"/>
                <w:szCs w:val="21"/>
                <w:highlight w:val="none"/>
              </w:rPr>
              <w:t>日丰</w:t>
            </w:r>
          </w:p>
          <w:p w14:paraId="61779A53">
            <w:pPr>
              <w:jc w:val="center"/>
              <w:rPr>
                <w:rFonts w:ascii="宋体" w:hAnsi="宋体"/>
                <w:szCs w:val="21"/>
                <w:highlight w:val="none"/>
              </w:rPr>
            </w:pPr>
            <w:r>
              <w:rPr>
                <w:rFonts w:hint="eastAsia" w:ascii="宋体" w:hAnsi="宋体"/>
                <w:szCs w:val="21"/>
                <w:highlight w:val="none"/>
              </w:rPr>
              <w:t>顾地</w:t>
            </w:r>
          </w:p>
        </w:tc>
        <w:tc>
          <w:tcPr>
            <w:tcW w:w="1050" w:type="dxa"/>
            <w:vAlign w:val="center"/>
          </w:tcPr>
          <w:p w14:paraId="71123DFE">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094169A1">
            <w:pPr>
              <w:jc w:val="center"/>
              <w:rPr>
                <w:rFonts w:ascii="宋体" w:hAnsi="宋体"/>
                <w:szCs w:val="21"/>
                <w:highlight w:val="none"/>
              </w:rPr>
            </w:pPr>
            <w:r>
              <w:rPr>
                <w:rFonts w:hint="eastAsia" w:ascii="宋体" w:hAnsi="宋体"/>
                <w:szCs w:val="21"/>
                <w:highlight w:val="none"/>
              </w:rPr>
              <w:t>佛山</w:t>
            </w:r>
          </w:p>
          <w:p w14:paraId="2574DC51">
            <w:pPr>
              <w:jc w:val="center"/>
              <w:rPr>
                <w:rFonts w:ascii="宋体" w:hAnsi="宋体"/>
                <w:szCs w:val="21"/>
                <w:highlight w:val="none"/>
              </w:rPr>
            </w:pPr>
            <w:r>
              <w:rPr>
                <w:rFonts w:hint="eastAsia" w:ascii="宋体" w:hAnsi="宋体"/>
                <w:szCs w:val="21"/>
                <w:highlight w:val="none"/>
              </w:rPr>
              <w:t>佛山</w:t>
            </w:r>
          </w:p>
          <w:p w14:paraId="64A7461F">
            <w:pPr>
              <w:jc w:val="center"/>
              <w:rPr>
                <w:rFonts w:ascii="宋体" w:hAnsi="宋体"/>
                <w:szCs w:val="21"/>
                <w:highlight w:val="none"/>
              </w:rPr>
            </w:pPr>
            <w:r>
              <w:rPr>
                <w:rFonts w:hint="eastAsia" w:ascii="宋体" w:hAnsi="宋体"/>
                <w:szCs w:val="21"/>
                <w:highlight w:val="none"/>
              </w:rPr>
              <w:t>佛山</w:t>
            </w:r>
          </w:p>
        </w:tc>
      </w:tr>
      <w:tr w14:paraId="55780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3E4F2F4E">
            <w:pPr>
              <w:jc w:val="center"/>
              <w:rPr>
                <w:rFonts w:ascii="宋体" w:hAnsi="宋体"/>
                <w:szCs w:val="21"/>
                <w:highlight w:val="none"/>
              </w:rPr>
            </w:pPr>
          </w:p>
        </w:tc>
        <w:tc>
          <w:tcPr>
            <w:tcW w:w="495" w:type="dxa"/>
            <w:vMerge w:val="continue"/>
            <w:tcBorders>
              <w:right w:val="nil"/>
            </w:tcBorders>
            <w:vAlign w:val="center"/>
          </w:tcPr>
          <w:p w14:paraId="43965248">
            <w:pPr>
              <w:jc w:val="center"/>
              <w:rPr>
                <w:rFonts w:ascii="宋体" w:hAnsi="宋体"/>
                <w:szCs w:val="21"/>
                <w:highlight w:val="none"/>
              </w:rPr>
            </w:pPr>
          </w:p>
        </w:tc>
        <w:tc>
          <w:tcPr>
            <w:tcW w:w="236" w:type="dxa"/>
            <w:vMerge w:val="continue"/>
            <w:tcBorders>
              <w:left w:val="nil"/>
            </w:tcBorders>
            <w:vAlign w:val="center"/>
          </w:tcPr>
          <w:p w14:paraId="58168847">
            <w:pPr>
              <w:jc w:val="center"/>
              <w:rPr>
                <w:rFonts w:ascii="宋体" w:hAnsi="宋体"/>
                <w:szCs w:val="21"/>
                <w:highlight w:val="none"/>
              </w:rPr>
            </w:pPr>
          </w:p>
        </w:tc>
        <w:tc>
          <w:tcPr>
            <w:tcW w:w="3398" w:type="dxa"/>
            <w:vAlign w:val="center"/>
          </w:tcPr>
          <w:p w14:paraId="61290803">
            <w:pPr>
              <w:jc w:val="center"/>
              <w:rPr>
                <w:rFonts w:ascii="宋体" w:hAnsi="宋体"/>
                <w:szCs w:val="21"/>
                <w:highlight w:val="none"/>
              </w:rPr>
            </w:pPr>
            <w:r>
              <w:rPr>
                <w:rFonts w:hint="eastAsia" w:ascii="宋体" w:hAnsi="宋体"/>
                <w:szCs w:val="21"/>
                <w:highlight w:val="none"/>
              </w:rPr>
              <w:t>HDPE双壁波纹管</w:t>
            </w:r>
          </w:p>
        </w:tc>
        <w:tc>
          <w:tcPr>
            <w:tcW w:w="1800" w:type="dxa"/>
            <w:vAlign w:val="center"/>
          </w:tcPr>
          <w:p w14:paraId="72B4A1FA">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21D2A1A7">
            <w:pPr>
              <w:jc w:val="center"/>
              <w:rPr>
                <w:rFonts w:ascii="宋体" w:hAnsi="宋体"/>
                <w:szCs w:val="21"/>
                <w:highlight w:val="none"/>
              </w:rPr>
            </w:pPr>
            <w:r>
              <w:rPr>
                <w:rFonts w:hint="eastAsia" w:ascii="宋体" w:hAnsi="宋体"/>
                <w:szCs w:val="21"/>
                <w:highlight w:val="none"/>
              </w:rPr>
              <w:t>联塑</w:t>
            </w:r>
          </w:p>
          <w:p w14:paraId="1373F84C">
            <w:pPr>
              <w:jc w:val="center"/>
              <w:rPr>
                <w:rFonts w:ascii="宋体" w:hAnsi="宋体"/>
                <w:szCs w:val="21"/>
                <w:highlight w:val="none"/>
              </w:rPr>
            </w:pPr>
            <w:r>
              <w:rPr>
                <w:rFonts w:hint="eastAsia" w:ascii="宋体" w:hAnsi="宋体"/>
                <w:szCs w:val="21"/>
                <w:highlight w:val="none"/>
              </w:rPr>
              <w:t>日丰</w:t>
            </w:r>
          </w:p>
          <w:p w14:paraId="71E82A23">
            <w:pPr>
              <w:jc w:val="center"/>
              <w:rPr>
                <w:rFonts w:ascii="宋体" w:hAnsi="宋体"/>
                <w:szCs w:val="21"/>
                <w:highlight w:val="none"/>
              </w:rPr>
            </w:pPr>
            <w:r>
              <w:rPr>
                <w:rFonts w:hint="eastAsia" w:ascii="宋体" w:hAnsi="宋体"/>
                <w:szCs w:val="21"/>
                <w:highlight w:val="none"/>
              </w:rPr>
              <w:t>顾地</w:t>
            </w:r>
          </w:p>
        </w:tc>
        <w:tc>
          <w:tcPr>
            <w:tcW w:w="1050" w:type="dxa"/>
            <w:vAlign w:val="center"/>
          </w:tcPr>
          <w:p w14:paraId="7A7037A7">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5EA933D1">
            <w:pPr>
              <w:jc w:val="center"/>
              <w:rPr>
                <w:rFonts w:ascii="宋体" w:hAnsi="宋体"/>
                <w:szCs w:val="21"/>
                <w:highlight w:val="none"/>
              </w:rPr>
            </w:pPr>
            <w:r>
              <w:rPr>
                <w:rFonts w:hint="eastAsia" w:ascii="宋体" w:hAnsi="宋体"/>
                <w:szCs w:val="21"/>
                <w:highlight w:val="none"/>
              </w:rPr>
              <w:t>佛山</w:t>
            </w:r>
          </w:p>
          <w:p w14:paraId="65B2CF45">
            <w:pPr>
              <w:jc w:val="center"/>
              <w:rPr>
                <w:rFonts w:ascii="宋体" w:hAnsi="宋体"/>
                <w:szCs w:val="21"/>
                <w:highlight w:val="none"/>
              </w:rPr>
            </w:pPr>
            <w:r>
              <w:rPr>
                <w:rFonts w:hint="eastAsia" w:ascii="宋体" w:hAnsi="宋体"/>
                <w:szCs w:val="21"/>
                <w:highlight w:val="none"/>
              </w:rPr>
              <w:t>佛山</w:t>
            </w:r>
          </w:p>
          <w:p w14:paraId="201A1D59">
            <w:pPr>
              <w:jc w:val="center"/>
              <w:rPr>
                <w:rFonts w:ascii="宋体" w:hAnsi="宋体"/>
                <w:szCs w:val="21"/>
                <w:highlight w:val="none"/>
              </w:rPr>
            </w:pPr>
            <w:r>
              <w:rPr>
                <w:rFonts w:hint="eastAsia" w:ascii="宋体" w:hAnsi="宋体"/>
                <w:szCs w:val="21"/>
                <w:highlight w:val="none"/>
              </w:rPr>
              <w:t>佛山</w:t>
            </w:r>
          </w:p>
        </w:tc>
      </w:tr>
      <w:tr w14:paraId="15F9DC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5B4BB21C">
            <w:pPr>
              <w:jc w:val="center"/>
              <w:rPr>
                <w:rFonts w:ascii="宋体" w:hAnsi="宋体"/>
                <w:szCs w:val="21"/>
                <w:highlight w:val="none"/>
              </w:rPr>
            </w:pPr>
          </w:p>
        </w:tc>
        <w:tc>
          <w:tcPr>
            <w:tcW w:w="495" w:type="dxa"/>
            <w:vMerge w:val="continue"/>
            <w:tcBorders>
              <w:right w:val="nil"/>
            </w:tcBorders>
            <w:vAlign w:val="center"/>
          </w:tcPr>
          <w:p w14:paraId="5A02316B">
            <w:pPr>
              <w:jc w:val="center"/>
              <w:rPr>
                <w:rFonts w:ascii="宋体" w:hAnsi="宋体"/>
                <w:szCs w:val="21"/>
                <w:highlight w:val="none"/>
              </w:rPr>
            </w:pPr>
          </w:p>
        </w:tc>
        <w:tc>
          <w:tcPr>
            <w:tcW w:w="236" w:type="dxa"/>
            <w:vMerge w:val="continue"/>
            <w:tcBorders>
              <w:left w:val="nil"/>
            </w:tcBorders>
            <w:vAlign w:val="center"/>
          </w:tcPr>
          <w:p w14:paraId="0F2C8278">
            <w:pPr>
              <w:jc w:val="center"/>
              <w:rPr>
                <w:rFonts w:ascii="宋体" w:hAnsi="宋体"/>
                <w:szCs w:val="21"/>
                <w:highlight w:val="none"/>
              </w:rPr>
            </w:pPr>
          </w:p>
        </w:tc>
        <w:tc>
          <w:tcPr>
            <w:tcW w:w="3398" w:type="dxa"/>
            <w:vAlign w:val="center"/>
          </w:tcPr>
          <w:p w14:paraId="4BDF7B15">
            <w:pPr>
              <w:jc w:val="center"/>
              <w:rPr>
                <w:rFonts w:ascii="宋体" w:hAnsi="宋体"/>
                <w:szCs w:val="21"/>
                <w:highlight w:val="none"/>
              </w:rPr>
            </w:pPr>
            <w:r>
              <w:rPr>
                <w:rFonts w:hint="eastAsia" w:ascii="宋体" w:hAnsi="宋体"/>
                <w:szCs w:val="21"/>
                <w:highlight w:val="none"/>
              </w:rPr>
              <w:t>蹲厕、座厕、小便器</w:t>
            </w:r>
          </w:p>
        </w:tc>
        <w:tc>
          <w:tcPr>
            <w:tcW w:w="1800" w:type="dxa"/>
            <w:vAlign w:val="center"/>
          </w:tcPr>
          <w:p w14:paraId="046D428F">
            <w:pPr>
              <w:jc w:val="center"/>
              <w:rPr>
                <w:rFonts w:ascii="宋体" w:hAnsi="宋体"/>
                <w:szCs w:val="21"/>
                <w:highlight w:val="none"/>
              </w:rPr>
            </w:pPr>
            <w:r>
              <w:rPr>
                <w:rFonts w:hint="eastAsia" w:ascii="宋体" w:hAnsi="宋体"/>
                <w:szCs w:val="21"/>
                <w:highlight w:val="none"/>
              </w:rPr>
              <w:t>按图</w:t>
            </w:r>
          </w:p>
        </w:tc>
        <w:tc>
          <w:tcPr>
            <w:tcW w:w="1328" w:type="dxa"/>
            <w:vMerge w:val="restart"/>
            <w:vAlign w:val="center"/>
          </w:tcPr>
          <w:p w14:paraId="50C43FBF">
            <w:pPr>
              <w:jc w:val="center"/>
              <w:rPr>
                <w:rFonts w:ascii="宋体" w:hAnsi="宋体"/>
                <w:szCs w:val="21"/>
                <w:highlight w:val="none"/>
              </w:rPr>
            </w:pPr>
            <w:r>
              <w:rPr>
                <w:rFonts w:hint="eastAsia" w:ascii="宋体" w:hAnsi="宋体"/>
                <w:szCs w:val="21"/>
                <w:highlight w:val="none"/>
              </w:rPr>
              <w:t>东鹏</w:t>
            </w:r>
          </w:p>
          <w:p w14:paraId="662CA712">
            <w:pPr>
              <w:jc w:val="center"/>
              <w:rPr>
                <w:rFonts w:ascii="宋体" w:hAnsi="宋体"/>
                <w:szCs w:val="21"/>
                <w:highlight w:val="none"/>
              </w:rPr>
            </w:pPr>
            <w:r>
              <w:rPr>
                <w:rFonts w:hint="eastAsia" w:ascii="宋体" w:hAnsi="宋体"/>
                <w:szCs w:val="21"/>
                <w:highlight w:val="none"/>
              </w:rPr>
              <w:t>恒洁</w:t>
            </w:r>
          </w:p>
          <w:p w14:paraId="5B79F459">
            <w:pPr>
              <w:jc w:val="center"/>
              <w:rPr>
                <w:rFonts w:ascii="宋体" w:hAnsi="宋体"/>
                <w:szCs w:val="21"/>
                <w:highlight w:val="none"/>
              </w:rPr>
            </w:pPr>
            <w:r>
              <w:rPr>
                <w:rFonts w:hint="eastAsia" w:ascii="宋体" w:hAnsi="宋体"/>
                <w:szCs w:val="21"/>
                <w:highlight w:val="none"/>
              </w:rPr>
              <w:t>鹰牌</w:t>
            </w:r>
          </w:p>
          <w:p w14:paraId="3A01D884">
            <w:pPr>
              <w:jc w:val="center"/>
              <w:rPr>
                <w:rFonts w:ascii="宋体" w:hAnsi="宋体"/>
                <w:szCs w:val="21"/>
                <w:highlight w:val="none"/>
              </w:rPr>
            </w:pPr>
            <w:r>
              <w:rPr>
                <w:rFonts w:hint="eastAsia" w:ascii="宋体" w:hAnsi="宋体"/>
                <w:szCs w:val="21"/>
                <w:highlight w:val="none"/>
              </w:rPr>
              <w:t>美标</w:t>
            </w:r>
          </w:p>
        </w:tc>
        <w:tc>
          <w:tcPr>
            <w:tcW w:w="1050" w:type="dxa"/>
            <w:vMerge w:val="restart"/>
            <w:vAlign w:val="center"/>
          </w:tcPr>
          <w:p w14:paraId="7BD0B980">
            <w:pPr>
              <w:jc w:val="center"/>
              <w:rPr>
                <w:rFonts w:ascii="宋体" w:hAnsi="宋体"/>
                <w:szCs w:val="21"/>
                <w:highlight w:val="none"/>
              </w:rPr>
            </w:pPr>
            <w:r>
              <w:rPr>
                <w:rFonts w:hint="eastAsia" w:ascii="宋体" w:hAnsi="宋体"/>
                <w:szCs w:val="21"/>
                <w:highlight w:val="none"/>
              </w:rPr>
              <w:t>优等</w:t>
            </w:r>
          </w:p>
        </w:tc>
        <w:tc>
          <w:tcPr>
            <w:tcW w:w="984" w:type="dxa"/>
            <w:vMerge w:val="restart"/>
            <w:vAlign w:val="center"/>
          </w:tcPr>
          <w:p w14:paraId="4F28CF91">
            <w:pPr>
              <w:jc w:val="center"/>
              <w:rPr>
                <w:rFonts w:ascii="宋体" w:hAnsi="宋体"/>
                <w:szCs w:val="21"/>
                <w:highlight w:val="none"/>
              </w:rPr>
            </w:pPr>
            <w:r>
              <w:rPr>
                <w:rFonts w:hint="eastAsia" w:ascii="宋体" w:hAnsi="宋体"/>
                <w:szCs w:val="21"/>
                <w:highlight w:val="none"/>
              </w:rPr>
              <w:t>佛山</w:t>
            </w:r>
          </w:p>
          <w:p w14:paraId="738CE4B1">
            <w:pPr>
              <w:jc w:val="center"/>
              <w:rPr>
                <w:rFonts w:ascii="宋体" w:hAnsi="宋体"/>
                <w:szCs w:val="21"/>
                <w:highlight w:val="none"/>
              </w:rPr>
            </w:pPr>
            <w:r>
              <w:rPr>
                <w:rFonts w:hint="eastAsia" w:ascii="宋体" w:hAnsi="宋体"/>
                <w:szCs w:val="21"/>
                <w:highlight w:val="none"/>
              </w:rPr>
              <w:t>佛山</w:t>
            </w:r>
          </w:p>
          <w:p w14:paraId="3E37FBB6">
            <w:pPr>
              <w:jc w:val="center"/>
              <w:rPr>
                <w:rFonts w:ascii="宋体" w:hAnsi="宋体"/>
                <w:szCs w:val="21"/>
                <w:highlight w:val="none"/>
              </w:rPr>
            </w:pPr>
            <w:r>
              <w:rPr>
                <w:rFonts w:hint="eastAsia" w:ascii="宋体" w:hAnsi="宋体"/>
                <w:szCs w:val="21"/>
                <w:highlight w:val="none"/>
              </w:rPr>
              <w:t>佛山</w:t>
            </w:r>
          </w:p>
          <w:p w14:paraId="4598AA7D">
            <w:pPr>
              <w:jc w:val="center"/>
              <w:rPr>
                <w:rFonts w:ascii="宋体" w:hAnsi="宋体"/>
                <w:szCs w:val="21"/>
                <w:highlight w:val="none"/>
              </w:rPr>
            </w:pPr>
            <w:r>
              <w:rPr>
                <w:rFonts w:hint="eastAsia" w:ascii="宋体" w:hAnsi="宋体"/>
                <w:szCs w:val="21"/>
                <w:highlight w:val="none"/>
              </w:rPr>
              <w:t>合资</w:t>
            </w:r>
          </w:p>
        </w:tc>
      </w:tr>
      <w:tr w14:paraId="540EBA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399" w:hRule="atLeast"/>
          <w:jc w:val="center"/>
        </w:trPr>
        <w:tc>
          <w:tcPr>
            <w:tcW w:w="477" w:type="dxa"/>
            <w:vMerge w:val="continue"/>
            <w:vAlign w:val="center"/>
          </w:tcPr>
          <w:p w14:paraId="18CEE5B7">
            <w:pPr>
              <w:jc w:val="center"/>
              <w:rPr>
                <w:rFonts w:ascii="宋体" w:hAnsi="宋体"/>
                <w:szCs w:val="21"/>
                <w:highlight w:val="none"/>
              </w:rPr>
            </w:pPr>
          </w:p>
        </w:tc>
        <w:tc>
          <w:tcPr>
            <w:tcW w:w="495" w:type="dxa"/>
            <w:vMerge w:val="continue"/>
            <w:tcBorders>
              <w:right w:val="nil"/>
            </w:tcBorders>
            <w:vAlign w:val="center"/>
          </w:tcPr>
          <w:p w14:paraId="6070227C">
            <w:pPr>
              <w:jc w:val="center"/>
              <w:rPr>
                <w:rFonts w:ascii="宋体" w:hAnsi="宋体"/>
                <w:szCs w:val="21"/>
                <w:highlight w:val="none"/>
              </w:rPr>
            </w:pPr>
          </w:p>
        </w:tc>
        <w:tc>
          <w:tcPr>
            <w:tcW w:w="236" w:type="dxa"/>
            <w:vMerge w:val="continue"/>
            <w:tcBorders>
              <w:left w:val="nil"/>
            </w:tcBorders>
            <w:vAlign w:val="center"/>
          </w:tcPr>
          <w:p w14:paraId="62F55A9F">
            <w:pPr>
              <w:jc w:val="center"/>
              <w:rPr>
                <w:rFonts w:ascii="宋体" w:hAnsi="宋体"/>
                <w:szCs w:val="21"/>
                <w:highlight w:val="none"/>
              </w:rPr>
            </w:pPr>
          </w:p>
        </w:tc>
        <w:tc>
          <w:tcPr>
            <w:tcW w:w="3398" w:type="dxa"/>
            <w:vAlign w:val="center"/>
          </w:tcPr>
          <w:p w14:paraId="39501B70">
            <w:pPr>
              <w:jc w:val="center"/>
              <w:rPr>
                <w:rFonts w:ascii="宋体" w:hAnsi="宋体"/>
                <w:szCs w:val="21"/>
                <w:highlight w:val="none"/>
              </w:rPr>
            </w:pPr>
            <w:r>
              <w:rPr>
                <w:rFonts w:hint="eastAsia" w:ascii="宋体" w:hAnsi="宋体"/>
                <w:szCs w:val="21"/>
                <w:highlight w:val="none"/>
              </w:rPr>
              <w:t>洗手盆</w:t>
            </w:r>
          </w:p>
        </w:tc>
        <w:tc>
          <w:tcPr>
            <w:tcW w:w="1800" w:type="dxa"/>
            <w:vAlign w:val="center"/>
          </w:tcPr>
          <w:p w14:paraId="5EE038C1">
            <w:pPr>
              <w:jc w:val="center"/>
              <w:rPr>
                <w:rFonts w:ascii="宋体" w:hAnsi="宋体"/>
                <w:szCs w:val="21"/>
                <w:highlight w:val="none"/>
              </w:rPr>
            </w:pPr>
            <w:r>
              <w:rPr>
                <w:rFonts w:hint="eastAsia" w:ascii="宋体" w:hAnsi="宋体"/>
                <w:szCs w:val="21"/>
                <w:highlight w:val="none"/>
              </w:rPr>
              <w:t>按图</w:t>
            </w:r>
          </w:p>
        </w:tc>
        <w:tc>
          <w:tcPr>
            <w:tcW w:w="1328" w:type="dxa"/>
            <w:vMerge w:val="continue"/>
          </w:tcPr>
          <w:p w14:paraId="47F08A62">
            <w:pPr>
              <w:jc w:val="center"/>
              <w:rPr>
                <w:rFonts w:ascii="宋体" w:hAnsi="宋体"/>
                <w:szCs w:val="21"/>
                <w:highlight w:val="none"/>
              </w:rPr>
            </w:pPr>
          </w:p>
        </w:tc>
        <w:tc>
          <w:tcPr>
            <w:tcW w:w="1050" w:type="dxa"/>
            <w:vMerge w:val="continue"/>
            <w:vAlign w:val="center"/>
          </w:tcPr>
          <w:p w14:paraId="6B51B294">
            <w:pPr>
              <w:jc w:val="center"/>
              <w:rPr>
                <w:rFonts w:ascii="宋体" w:hAnsi="宋体"/>
                <w:szCs w:val="21"/>
                <w:highlight w:val="none"/>
              </w:rPr>
            </w:pPr>
          </w:p>
        </w:tc>
        <w:tc>
          <w:tcPr>
            <w:tcW w:w="984" w:type="dxa"/>
            <w:vMerge w:val="continue"/>
            <w:vAlign w:val="center"/>
          </w:tcPr>
          <w:p w14:paraId="4A71B006">
            <w:pPr>
              <w:jc w:val="center"/>
              <w:rPr>
                <w:rFonts w:ascii="宋体" w:hAnsi="宋体"/>
                <w:szCs w:val="21"/>
                <w:highlight w:val="none"/>
              </w:rPr>
            </w:pPr>
          </w:p>
        </w:tc>
      </w:tr>
      <w:tr w14:paraId="4139BC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42" w:hRule="atLeast"/>
          <w:jc w:val="center"/>
        </w:trPr>
        <w:tc>
          <w:tcPr>
            <w:tcW w:w="477" w:type="dxa"/>
            <w:vMerge w:val="continue"/>
            <w:vAlign w:val="center"/>
          </w:tcPr>
          <w:p w14:paraId="15EC00E8">
            <w:pPr>
              <w:jc w:val="center"/>
              <w:rPr>
                <w:rFonts w:ascii="宋体" w:hAnsi="宋体"/>
                <w:szCs w:val="21"/>
                <w:highlight w:val="none"/>
              </w:rPr>
            </w:pPr>
          </w:p>
        </w:tc>
        <w:tc>
          <w:tcPr>
            <w:tcW w:w="495" w:type="dxa"/>
            <w:vMerge w:val="continue"/>
            <w:tcBorders>
              <w:right w:val="nil"/>
            </w:tcBorders>
            <w:vAlign w:val="center"/>
          </w:tcPr>
          <w:p w14:paraId="088DB0CA">
            <w:pPr>
              <w:jc w:val="center"/>
              <w:rPr>
                <w:rFonts w:ascii="宋体" w:hAnsi="宋体"/>
                <w:szCs w:val="21"/>
                <w:highlight w:val="none"/>
              </w:rPr>
            </w:pPr>
          </w:p>
        </w:tc>
        <w:tc>
          <w:tcPr>
            <w:tcW w:w="236" w:type="dxa"/>
            <w:vMerge w:val="continue"/>
            <w:tcBorders>
              <w:left w:val="nil"/>
            </w:tcBorders>
            <w:vAlign w:val="center"/>
          </w:tcPr>
          <w:p w14:paraId="0E53572B">
            <w:pPr>
              <w:jc w:val="center"/>
              <w:rPr>
                <w:rFonts w:ascii="宋体" w:hAnsi="宋体"/>
                <w:szCs w:val="21"/>
                <w:highlight w:val="none"/>
              </w:rPr>
            </w:pPr>
          </w:p>
        </w:tc>
        <w:tc>
          <w:tcPr>
            <w:tcW w:w="3398" w:type="dxa"/>
            <w:vAlign w:val="center"/>
          </w:tcPr>
          <w:p w14:paraId="01C0FE12">
            <w:pPr>
              <w:jc w:val="center"/>
              <w:rPr>
                <w:rFonts w:ascii="宋体" w:hAnsi="宋体"/>
                <w:szCs w:val="21"/>
                <w:highlight w:val="none"/>
              </w:rPr>
            </w:pPr>
            <w:r>
              <w:rPr>
                <w:rFonts w:hint="eastAsia" w:ascii="宋体" w:hAnsi="宋体"/>
                <w:szCs w:val="21"/>
                <w:highlight w:val="none"/>
              </w:rPr>
              <w:t>水龙头</w:t>
            </w:r>
          </w:p>
        </w:tc>
        <w:tc>
          <w:tcPr>
            <w:tcW w:w="1800" w:type="dxa"/>
            <w:vAlign w:val="center"/>
          </w:tcPr>
          <w:p w14:paraId="4EB740D6">
            <w:pPr>
              <w:jc w:val="center"/>
              <w:rPr>
                <w:rFonts w:ascii="宋体" w:hAnsi="宋体"/>
                <w:szCs w:val="21"/>
                <w:highlight w:val="none"/>
              </w:rPr>
            </w:pPr>
            <w:r>
              <w:rPr>
                <w:rFonts w:hint="eastAsia" w:ascii="宋体" w:hAnsi="宋体"/>
                <w:szCs w:val="21"/>
                <w:highlight w:val="none"/>
              </w:rPr>
              <w:t>按图</w:t>
            </w:r>
          </w:p>
        </w:tc>
        <w:tc>
          <w:tcPr>
            <w:tcW w:w="1328" w:type="dxa"/>
            <w:vMerge w:val="continue"/>
          </w:tcPr>
          <w:p w14:paraId="2C5C50BF">
            <w:pPr>
              <w:jc w:val="center"/>
              <w:rPr>
                <w:rFonts w:ascii="宋体" w:hAnsi="宋体"/>
                <w:szCs w:val="21"/>
                <w:highlight w:val="none"/>
              </w:rPr>
            </w:pPr>
          </w:p>
        </w:tc>
        <w:tc>
          <w:tcPr>
            <w:tcW w:w="1050" w:type="dxa"/>
            <w:vMerge w:val="continue"/>
            <w:vAlign w:val="center"/>
          </w:tcPr>
          <w:p w14:paraId="004E8CC7">
            <w:pPr>
              <w:jc w:val="center"/>
              <w:rPr>
                <w:rFonts w:ascii="宋体" w:hAnsi="宋体"/>
                <w:szCs w:val="21"/>
                <w:highlight w:val="none"/>
              </w:rPr>
            </w:pPr>
          </w:p>
        </w:tc>
        <w:tc>
          <w:tcPr>
            <w:tcW w:w="984" w:type="dxa"/>
            <w:vMerge w:val="continue"/>
            <w:vAlign w:val="center"/>
          </w:tcPr>
          <w:p w14:paraId="4684709C">
            <w:pPr>
              <w:jc w:val="center"/>
              <w:rPr>
                <w:rFonts w:ascii="宋体" w:hAnsi="宋体"/>
                <w:szCs w:val="21"/>
                <w:highlight w:val="none"/>
              </w:rPr>
            </w:pPr>
          </w:p>
        </w:tc>
      </w:tr>
      <w:tr w14:paraId="7357CE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6F59D038">
            <w:pPr>
              <w:jc w:val="center"/>
              <w:rPr>
                <w:rFonts w:ascii="宋体" w:hAnsi="宋体"/>
                <w:szCs w:val="21"/>
                <w:highlight w:val="none"/>
              </w:rPr>
            </w:pPr>
          </w:p>
        </w:tc>
        <w:tc>
          <w:tcPr>
            <w:tcW w:w="495" w:type="dxa"/>
            <w:vMerge w:val="continue"/>
            <w:tcBorders>
              <w:right w:val="nil"/>
            </w:tcBorders>
            <w:vAlign w:val="center"/>
          </w:tcPr>
          <w:p w14:paraId="70FE78D1">
            <w:pPr>
              <w:jc w:val="center"/>
              <w:rPr>
                <w:rFonts w:ascii="宋体" w:hAnsi="宋体"/>
                <w:szCs w:val="21"/>
                <w:highlight w:val="none"/>
              </w:rPr>
            </w:pPr>
          </w:p>
        </w:tc>
        <w:tc>
          <w:tcPr>
            <w:tcW w:w="236" w:type="dxa"/>
            <w:vMerge w:val="continue"/>
            <w:tcBorders>
              <w:left w:val="nil"/>
            </w:tcBorders>
            <w:vAlign w:val="center"/>
          </w:tcPr>
          <w:p w14:paraId="7BFCF2F9">
            <w:pPr>
              <w:jc w:val="center"/>
              <w:rPr>
                <w:rFonts w:ascii="宋体" w:hAnsi="宋体"/>
                <w:szCs w:val="21"/>
                <w:highlight w:val="none"/>
              </w:rPr>
            </w:pPr>
          </w:p>
        </w:tc>
        <w:tc>
          <w:tcPr>
            <w:tcW w:w="3398" w:type="dxa"/>
            <w:vAlign w:val="center"/>
          </w:tcPr>
          <w:p w14:paraId="73103FEA">
            <w:pPr>
              <w:jc w:val="center"/>
              <w:rPr>
                <w:rFonts w:ascii="宋体" w:hAnsi="宋体"/>
                <w:szCs w:val="21"/>
                <w:highlight w:val="none"/>
              </w:rPr>
            </w:pPr>
            <w:r>
              <w:rPr>
                <w:rFonts w:hint="eastAsia" w:ascii="宋体" w:hAnsi="宋体"/>
                <w:szCs w:val="21"/>
                <w:highlight w:val="none"/>
              </w:rPr>
              <w:t>生活恒压供水泵、潜污泵</w:t>
            </w:r>
          </w:p>
        </w:tc>
        <w:tc>
          <w:tcPr>
            <w:tcW w:w="1800" w:type="dxa"/>
            <w:vAlign w:val="center"/>
          </w:tcPr>
          <w:p w14:paraId="7D3C8572">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3E1CDD93">
            <w:pPr>
              <w:jc w:val="center"/>
              <w:rPr>
                <w:rFonts w:ascii="宋体" w:hAnsi="宋体"/>
                <w:szCs w:val="21"/>
                <w:highlight w:val="none"/>
              </w:rPr>
            </w:pPr>
            <w:r>
              <w:rPr>
                <w:rFonts w:hint="eastAsia" w:ascii="宋体" w:hAnsi="宋体"/>
                <w:szCs w:val="21"/>
                <w:highlight w:val="none"/>
              </w:rPr>
              <w:t>双轮</w:t>
            </w:r>
          </w:p>
          <w:p w14:paraId="5B797937">
            <w:pPr>
              <w:jc w:val="center"/>
              <w:rPr>
                <w:rFonts w:ascii="宋体" w:hAnsi="宋体"/>
                <w:szCs w:val="21"/>
                <w:highlight w:val="none"/>
              </w:rPr>
            </w:pPr>
            <w:r>
              <w:rPr>
                <w:rFonts w:hint="eastAsia" w:ascii="宋体" w:hAnsi="宋体"/>
                <w:szCs w:val="21"/>
                <w:highlight w:val="none"/>
              </w:rPr>
              <w:t>广一</w:t>
            </w:r>
          </w:p>
          <w:p w14:paraId="64E9652F">
            <w:pPr>
              <w:jc w:val="center"/>
              <w:rPr>
                <w:rFonts w:ascii="宋体" w:hAnsi="宋体"/>
                <w:szCs w:val="21"/>
                <w:highlight w:val="none"/>
              </w:rPr>
            </w:pPr>
            <w:r>
              <w:rPr>
                <w:rFonts w:hint="eastAsia" w:ascii="宋体" w:hAnsi="宋体"/>
                <w:szCs w:val="21"/>
                <w:highlight w:val="none"/>
              </w:rPr>
              <w:t>凯泉</w:t>
            </w:r>
          </w:p>
          <w:p w14:paraId="21A3256D">
            <w:pPr>
              <w:jc w:val="center"/>
              <w:rPr>
                <w:rFonts w:ascii="宋体" w:hAnsi="宋体"/>
                <w:szCs w:val="21"/>
                <w:highlight w:val="none"/>
              </w:rPr>
            </w:pPr>
            <w:r>
              <w:rPr>
                <w:rFonts w:hint="eastAsia" w:ascii="宋体" w:hAnsi="宋体"/>
                <w:szCs w:val="21"/>
                <w:highlight w:val="none"/>
              </w:rPr>
              <w:t>威乐</w:t>
            </w:r>
          </w:p>
        </w:tc>
        <w:tc>
          <w:tcPr>
            <w:tcW w:w="1050" w:type="dxa"/>
            <w:vAlign w:val="center"/>
          </w:tcPr>
          <w:p w14:paraId="44DC9181">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31C888A2">
            <w:pPr>
              <w:jc w:val="center"/>
              <w:rPr>
                <w:rFonts w:ascii="宋体" w:hAnsi="宋体"/>
                <w:szCs w:val="21"/>
                <w:highlight w:val="none"/>
              </w:rPr>
            </w:pPr>
            <w:r>
              <w:rPr>
                <w:rFonts w:hint="eastAsia" w:ascii="宋体" w:hAnsi="宋体"/>
                <w:szCs w:val="21"/>
                <w:highlight w:val="none"/>
              </w:rPr>
              <w:t>山东</w:t>
            </w:r>
          </w:p>
          <w:p w14:paraId="34A8D320">
            <w:pPr>
              <w:jc w:val="center"/>
              <w:rPr>
                <w:rFonts w:ascii="宋体" w:hAnsi="宋体"/>
                <w:szCs w:val="21"/>
                <w:highlight w:val="none"/>
              </w:rPr>
            </w:pPr>
            <w:r>
              <w:rPr>
                <w:rFonts w:hint="eastAsia" w:ascii="宋体" w:hAnsi="宋体"/>
                <w:szCs w:val="21"/>
                <w:highlight w:val="none"/>
              </w:rPr>
              <w:t>广州</w:t>
            </w:r>
          </w:p>
          <w:p w14:paraId="492E59A0">
            <w:pPr>
              <w:jc w:val="center"/>
              <w:rPr>
                <w:rFonts w:ascii="宋体" w:hAnsi="宋体"/>
                <w:szCs w:val="21"/>
                <w:highlight w:val="none"/>
              </w:rPr>
            </w:pPr>
            <w:r>
              <w:rPr>
                <w:rFonts w:hint="eastAsia" w:ascii="宋体" w:hAnsi="宋体"/>
                <w:szCs w:val="21"/>
                <w:highlight w:val="none"/>
              </w:rPr>
              <w:t>上海</w:t>
            </w:r>
          </w:p>
          <w:p w14:paraId="300CAAE3">
            <w:pPr>
              <w:jc w:val="center"/>
              <w:rPr>
                <w:rFonts w:ascii="宋体" w:hAnsi="宋体"/>
                <w:szCs w:val="21"/>
                <w:highlight w:val="none"/>
              </w:rPr>
            </w:pPr>
            <w:r>
              <w:rPr>
                <w:rFonts w:hint="eastAsia" w:ascii="宋体" w:hAnsi="宋体"/>
                <w:szCs w:val="21"/>
                <w:highlight w:val="none"/>
              </w:rPr>
              <w:t>合资</w:t>
            </w:r>
          </w:p>
        </w:tc>
      </w:tr>
      <w:tr w14:paraId="1DE1FA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124408E1">
            <w:pPr>
              <w:jc w:val="center"/>
              <w:rPr>
                <w:rFonts w:ascii="宋体" w:hAnsi="宋体"/>
                <w:szCs w:val="21"/>
                <w:highlight w:val="none"/>
              </w:rPr>
            </w:pPr>
          </w:p>
        </w:tc>
        <w:tc>
          <w:tcPr>
            <w:tcW w:w="495" w:type="dxa"/>
            <w:vMerge w:val="continue"/>
            <w:tcBorders>
              <w:right w:val="nil"/>
            </w:tcBorders>
            <w:vAlign w:val="center"/>
          </w:tcPr>
          <w:p w14:paraId="3A519E41">
            <w:pPr>
              <w:jc w:val="center"/>
              <w:rPr>
                <w:rFonts w:ascii="宋体" w:hAnsi="宋体"/>
                <w:szCs w:val="21"/>
                <w:highlight w:val="none"/>
              </w:rPr>
            </w:pPr>
          </w:p>
        </w:tc>
        <w:tc>
          <w:tcPr>
            <w:tcW w:w="236" w:type="dxa"/>
            <w:vMerge w:val="continue"/>
            <w:tcBorders>
              <w:left w:val="nil"/>
            </w:tcBorders>
            <w:vAlign w:val="center"/>
          </w:tcPr>
          <w:p w14:paraId="7B192C4F">
            <w:pPr>
              <w:jc w:val="center"/>
              <w:rPr>
                <w:rFonts w:ascii="宋体" w:hAnsi="宋体"/>
                <w:szCs w:val="21"/>
                <w:highlight w:val="none"/>
              </w:rPr>
            </w:pPr>
          </w:p>
        </w:tc>
        <w:tc>
          <w:tcPr>
            <w:tcW w:w="3398" w:type="dxa"/>
            <w:vAlign w:val="center"/>
          </w:tcPr>
          <w:p w14:paraId="6C70FCF3">
            <w:pPr>
              <w:jc w:val="center"/>
              <w:rPr>
                <w:rFonts w:ascii="宋体" w:hAnsi="宋体"/>
                <w:szCs w:val="21"/>
                <w:highlight w:val="none"/>
              </w:rPr>
            </w:pPr>
            <w:r>
              <w:rPr>
                <w:rFonts w:hint="eastAsia" w:ascii="宋体" w:hAnsi="宋体"/>
                <w:szCs w:val="21"/>
                <w:highlight w:val="none"/>
              </w:rPr>
              <w:t>阀门</w:t>
            </w:r>
          </w:p>
        </w:tc>
        <w:tc>
          <w:tcPr>
            <w:tcW w:w="1800" w:type="dxa"/>
            <w:vAlign w:val="center"/>
          </w:tcPr>
          <w:p w14:paraId="08DEE379">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33D71B0C">
            <w:pPr>
              <w:jc w:val="center"/>
              <w:rPr>
                <w:rFonts w:ascii="宋体" w:hAnsi="宋体"/>
                <w:szCs w:val="21"/>
                <w:highlight w:val="none"/>
              </w:rPr>
            </w:pPr>
            <w:r>
              <w:rPr>
                <w:rFonts w:hint="eastAsia" w:ascii="宋体" w:hAnsi="宋体"/>
                <w:szCs w:val="21"/>
                <w:highlight w:val="none"/>
              </w:rPr>
              <w:t>永泉</w:t>
            </w:r>
          </w:p>
          <w:p w14:paraId="62256548">
            <w:pPr>
              <w:jc w:val="center"/>
              <w:rPr>
                <w:rFonts w:ascii="宋体" w:hAnsi="宋体"/>
                <w:szCs w:val="21"/>
                <w:highlight w:val="none"/>
              </w:rPr>
            </w:pPr>
            <w:r>
              <w:rPr>
                <w:rFonts w:hint="eastAsia" w:ascii="宋体" w:hAnsi="宋体"/>
                <w:szCs w:val="21"/>
                <w:highlight w:val="none"/>
              </w:rPr>
              <w:t>大禹</w:t>
            </w:r>
          </w:p>
          <w:p w14:paraId="39EA481A">
            <w:pPr>
              <w:jc w:val="center"/>
              <w:rPr>
                <w:rFonts w:ascii="宋体" w:hAnsi="宋体"/>
                <w:szCs w:val="21"/>
                <w:highlight w:val="none"/>
              </w:rPr>
            </w:pPr>
            <w:r>
              <w:rPr>
                <w:rFonts w:hint="eastAsia" w:ascii="宋体" w:hAnsi="宋体"/>
                <w:szCs w:val="21"/>
                <w:highlight w:val="none"/>
              </w:rPr>
              <w:t>埃美柯</w:t>
            </w:r>
          </w:p>
        </w:tc>
        <w:tc>
          <w:tcPr>
            <w:tcW w:w="1050" w:type="dxa"/>
            <w:vAlign w:val="center"/>
          </w:tcPr>
          <w:p w14:paraId="4F855AE3">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79AB7FCD">
            <w:pPr>
              <w:jc w:val="center"/>
              <w:rPr>
                <w:rFonts w:ascii="宋体" w:hAnsi="宋体"/>
                <w:szCs w:val="21"/>
                <w:highlight w:val="none"/>
              </w:rPr>
            </w:pPr>
            <w:r>
              <w:rPr>
                <w:rFonts w:hint="eastAsia" w:ascii="宋体" w:hAnsi="宋体"/>
                <w:szCs w:val="21"/>
                <w:highlight w:val="none"/>
              </w:rPr>
              <w:t>上海</w:t>
            </w:r>
          </w:p>
          <w:p w14:paraId="748B2BDD">
            <w:pPr>
              <w:jc w:val="center"/>
              <w:rPr>
                <w:rFonts w:ascii="宋体" w:hAnsi="宋体"/>
                <w:szCs w:val="21"/>
                <w:highlight w:val="none"/>
              </w:rPr>
            </w:pPr>
            <w:r>
              <w:rPr>
                <w:rFonts w:hint="eastAsia" w:ascii="宋体" w:hAnsi="宋体"/>
                <w:szCs w:val="21"/>
                <w:highlight w:val="none"/>
              </w:rPr>
              <w:t>南海</w:t>
            </w:r>
          </w:p>
          <w:p w14:paraId="075B28EC">
            <w:pPr>
              <w:jc w:val="center"/>
              <w:rPr>
                <w:rFonts w:ascii="宋体" w:hAnsi="宋体"/>
                <w:szCs w:val="21"/>
                <w:highlight w:val="none"/>
              </w:rPr>
            </w:pPr>
            <w:r>
              <w:rPr>
                <w:rFonts w:hint="eastAsia" w:ascii="宋体" w:hAnsi="宋体"/>
                <w:szCs w:val="21"/>
                <w:highlight w:val="none"/>
              </w:rPr>
              <w:t>武汉</w:t>
            </w:r>
          </w:p>
        </w:tc>
      </w:tr>
      <w:tr w14:paraId="41261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989" w:hRule="atLeast"/>
          <w:jc w:val="center"/>
        </w:trPr>
        <w:tc>
          <w:tcPr>
            <w:tcW w:w="477" w:type="dxa"/>
            <w:vMerge w:val="continue"/>
            <w:vAlign w:val="center"/>
          </w:tcPr>
          <w:p w14:paraId="360561B5">
            <w:pPr>
              <w:jc w:val="center"/>
              <w:rPr>
                <w:rFonts w:ascii="宋体" w:hAnsi="宋体"/>
                <w:szCs w:val="21"/>
                <w:highlight w:val="none"/>
              </w:rPr>
            </w:pPr>
          </w:p>
        </w:tc>
        <w:tc>
          <w:tcPr>
            <w:tcW w:w="731" w:type="dxa"/>
            <w:gridSpan w:val="2"/>
            <w:vMerge w:val="restart"/>
            <w:vAlign w:val="center"/>
          </w:tcPr>
          <w:p w14:paraId="28059508">
            <w:pPr>
              <w:jc w:val="center"/>
              <w:rPr>
                <w:rFonts w:ascii="宋体" w:hAnsi="宋体"/>
                <w:szCs w:val="21"/>
                <w:highlight w:val="none"/>
              </w:rPr>
            </w:pPr>
          </w:p>
        </w:tc>
        <w:tc>
          <w:tcPr>
            <w:tcW w:w="3398" w:type="dxa"/>
            <w:vAlign w:val="center"/>
          </w:tcPr>
          <w:p w14:paraId="0DF831AD">
            <w:pPr>
              <w:jc w:val="center"/>
              <w:rPr>
                <w:rFonts w:ascii="宋体" w:hAnsi="宋体"/>
                <w:szCs w:val="21"/>
                <w:highlight w:val="none"/>
              </w:rPr>
            </w:pPr>
            <w:r>
              <w:rPr>
                <w:rFonts w:hint="eastAsia" w:ascii="宋体" w:hAnsi="宋体"/>
                <w:szCs w:val="21"/>
                <w:highlight w:val="none"/>
              </w:rPr>
              <w:t>低压配电箱</w:t>
            </w:r>
          </w:p>
        </w:tc>
        <w:tc>
          <w:tcPr>
            <w:tcW w:w="1800" w:type="dxa"/>
            <w:vAlign w:val="center"/>
          </w:tcPr>
          <w:p w14:paraId="33E7BDBD">
            <w:pPr>
              <w:jc w:val="center"/>
              <w:rPr>
                <w:rFonts w:ascii="宋体" w:hAnsi="宋体"/>
                <w:szCs w:val="21"/>
                <w:highlight w:val="none"/>
              </w:rPr>
            </w:pPr>
            <w:r>
              <w:rPr>
                <w:rFonts w:hint="eastAsia" w:ascii="宋体" w:hAnsi="宋体"/>
                <w:szCs w:val="21"/>
                <w:highlight w:val="none"/>
              </w:rPr>
              <w:t>按图</w:t>
            </w:r>
          </w:p>
        </w:tc>
        <w:tc>
          <w:tcPr>
            <w:tcW w:w="1328" w:type="dxa"/>
          </w:tcPr>
          <w:p w14:paraId="17B63925">
            <w:pPr>
              <w:jc w:val="center"/>
              <w:rPr>
                <w:rFonts w:ascii="宋体" w:hAnsi="宋体"/>
                <w:szCs w:val="21"/>
                <w:highlight w:val="none"/>
              </w:rPr>
            </w:pPr>
            <w:r>
              <w:rPr>
                <w:rFonts w:hint="eastAsia" w:ascii="宋体" w:hAnsi="宋体"/>
                <w:szCs w:val="21"/>
                <w:highlight w:val="none"/>
              </w:rPr>
              <w:t>基业</w:t>
            </w:r>
          </w:p>
          <w:p w14:paraId="785643BF">
            <w:pPr>
              <w:jc w:val="center"/>
              <w:rPr>
                <w:rFonts w:ascii="宋体" w:hAnsi="宋体"/>
                <w:szCs w:val="21"/>
                <w:highlight w:val="none"/>
              </w:rPr>
            </w:pPr>
            <w:r>
              <w:rPr>
                <w:rFonts w:hint="eastAsia" w:ascii="宋体" w:hAnsi="宋体"/>
                <w:szCs w:val="21"/>
                <w:highlight w:val="none"/>
              </w:rPr>
              <w:t>创业</w:t>
            </w:r>
          </w:p>
          <w:p w14:paraId="091D538C">
            <w:pPr>
              <w:jc w:val="center"/>
              <w:rPr>
                <w:rFonts w:ascii="宋体" w:hAnsi="宋体"/>
                <w:szCs w:val="21"/>
                <w:highlight w:val="none"/>
              </w:rPr>
            </w:pPr>
            <w:r>
              <w:rPr>
                <w:rFonts w:hint="eastAsia" w:ascii="宋体" w:hAnsi="宋体"/>
                <w:szCs w:val="21"/>
                <w:highlight w:val="none"/>
              </w:rPr>
              <w:t>超业</w:t>
            </w:r>
          </w:p>
        </w:tc>
        <w:tc>
          <w:tcPr>
            <w:tcW w:w="1050" w:type="dxa"/>
          </w:tcPr>
          <w:p w14:paraId="1A41316A">
            <w:pPr>
              <w:jc w:val="center"/>
              <w:rPr>
                <w:rFonts w:ascii="宋体" w:hAnsi="宋体"/>
                <w:szCs w:val="21"/>
                <w:highlight w:val="none"/>
              </w:rPr>
            </w:pPr>
          </w:p>
          <w:p w14:paraId="4D062CB6">
            <w:pPr>
              <w:jc w:val="center"/>
              <w:rPr>
                <w:rFonts w:ascii="宋体" w:hAnsi="宋体"/>
                <w:szCs w:val="21"/>
                <w:highlight w:val="none"/>
              </w:rPr>
            </w:pPr>
            <w:r>
              <w:rPr>
                <w:rFonts w:hint="eastAsia" w:ascii="宋体" w:hAnsi="宋体"/>
                <w:szCs w:val="21"/>
                <w:highlight w:val="none"/>
              </w:rPr>
              <w:t>优</w:t>
            </w:r>
          </w:p>
        </w:tc>
        <w:tc>
          <w:tcPr>
            <w:tcW w:w="984" w:type="dxa"/>
            <w:vAlign w:val="center"/>
          </w:tcPr>
          <w:p w14:paraId="1AD48A62">
            <w:pPr>
              <w:jc w:val="center"/>
              <w:rPr>
                <w:rFonts w:ascii="宋体" w:hAnsi="宋体"/>
                <w:szCs w:val="21"/>
                <w:highlight w:val="none"/>
              </w:rPr>
            </w:pPr>
            <w:r>
              <w:rPr>
                <w:rFonts w:hint="eastAsia" w:ascii="宋体" w:hAnsi="宋体"/>
                <w:szCs w:val="21"/>
                <w:highlight w:val="none"/>
              </w:rPr>
              <w:t>东莞</w:t>
            </w:r>
          </w:p>
        </w:tc>
      </w:tr>
      <w:tr w14:paraId="6E9AD6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7D2A5211">
            <w:pPr>
              <w:jc w:val="center"/>
              <w:rPr>
                <w:rFonts w:ascii="宋体" w:hAnsi="宋体"/>
                <w:szCs w:val="21"/>
                <w:highlight w:val="none"/>
              </w:rPr>
            </w:pPr>
          </w:p>
        </w:tc>
        <w:tc>
          <w:tcPr>
            <w:tcW w:w="731" w:type="dxa"/>
            <w:gridSpan w:val="2"/>
            <w:vMerge w:val="continue"/>
            <w:vAlign w:val="center"/>
          </w:tcPr>
          <w:p w14:paraId="2052331E">
            <w:pPr>
              <w:jc w:val="center"/>
              <w:rPr>
                <w:rFonts w:ascii="宋体" w:hAnsi="宋体"/>
                <w:szCs w:val="21"/>
                <w:highlight w:val="none"/>
              </w:rPr>
            </w:pPr>
          </w:p>
        </w:tc>
        <w:tc>
          <w:tcPr>
            <w:tcW w:w="3398" w:type="dxa"/>
            <w:vAlign w:val="center"/>
          </w:tcPr>
          <w:p w14:paraId="194C4174">
            <w:pPr>
              <w:jc w:val="center"/>
              <w:rPr>
                <w:rFonts w:ascii="宋体" w:hAnsi="宋体"/>
                <w:szCs w:val="21"/>
                <w:highlight w:val="none"/>
              </w:rPr>
            </w:pPr>
            <w:r>
              <w:rPr>
                <w:rFonts w:hint="eastAsia" w:ascii="宋体" w:hAnsi="宋体"/>
                <w:szCs w:val="21"/>
                <w:highlight w:val="none"/>
              </w:rPr>
              <w:t>金属线槽、电缆桥架</w:t>
            </w:r>
          </w:p>
        </w:tc>
        <w:tc>
          <w:tcPr>
            <w:tcW w:w="1800" w:type="dxa"/>
            <w:vAlign w:val="center"/>
          </w:tcPr>
          <w:p w14:paraId="558CBFC9">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5595E2EB">
            <w:pPr>
              <w:jc w:val="center"/>
              <w:rPr>
                <w:rFonts w:ascii="宋体" w:hAnsi="宋体"/>
                <w:szCs w:val="21"/>
                <w:highlight w:val="none"/>
              </w:rPr>
            </w:pPr>
            <w:r>
              <w:rPr>
                <w:rFonts w:hint="eastAsia" w:ascii="宋体" w:hAnsi="宋体"/>
                <w:szCs w:val="21"/>
                <w:highlight w:val="none"/>
              </w:rPr>
              <w:t>珠江</w:t>
            </w:r>
          </w:p>
          <w:p w14:paraId="5A4C82B3">
            <w:pPr>
              <w:jc w:val="center"/>
              <w:rPr>
                <w:rFonts w:ascii="宋体" w:hAnsi="宋体"/>
                <w:szCs w:val="21"/>
                <w:highlight w:val="none"/>
              </w:rPr>
            </w:pPr>
            <w:r>
              <w:rPr>
                <w:rFonts w:hint="eastAsia" w:ascii="宋体" w:hAnsi="宋体"/>
                <w:szCs w:val="21"/>
                <w:highlight w:val="none"/>
              </w:rPr>
              <w:t>宏际</w:t>
            </w:r>
          </w:p>
          <w:p w14:paraId="2EB1A964">
            <w:pPr>
              <w:jc w:val="center"/>
              <w:rPr>
                <w:rFonts w:ascii="宋体" w:hAnsi="宋体"/>
                <w:szCs w:val="21"/>
                <w:highlight w:val="none"/>
              </w:rPr>
            </w:pPr>
            <w:r>
              <w:rPr>
                <w:rFonts w:hint="eastAsia" w:ascii="宋体" w:hAnsi="宋体"/>
                <w:szCs w:val="21"/>
                <w:highlight w:val="none"/>
              </w:rPr>
              <w:t>华捷</w:t>
            </w:r>
          </w:p>
        </w:tc>
        <w:tc>
          <w:tcPr>
            <w:tcW w:w="1050" w:type="dxa"/>
            <w:vAlign w:val="center"/>
          </w:tcPr>
          <w:p w14:paraId="1E4E484C">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2B0D5C03">
            <w:pPr>
              <w:jc w:val="center"/>
              <w:rPr>
                <w:rFonts w:ascii="宋体" w:hAnsi="宋体"/>
                <w:szCs w:val="21"/>
                <w:highlight w:val="none"/>
              </w:rPr>
            </w:pPr>
            <w:r>
              <w:rPr>
                <w:rFonts w:hint="eastAsia" w:ascii="宋体" w:hAnsi="宋体"/>
                <w:szCs w:val="21"/>
                <w:highlight w:val="none"/>
              </w:rPr>
              <w:t>广东</w:t>
            </w:r>
          </w:p>
        </w:tc>
      </w:tr>
      <w:tr w14:paraId="53F51C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6DF3BFDA">
            <w:pPr>
              <w:jc w:val="center"/>
              <w:rPr>
                <w:rFonts w:ascii="宋体" w:hAnsi="宋体"/>
                <w:szCs w:val="21"/>
                <w:highlight w:val="none"/>
              </w:rPr>
            </w:pPr>
          </w:p>
        </w:tc>
        <w:tc>
          <w:tcPr>
            <w:tcW w:w="731" w:type="dxa"/>
            <w:gridSpan w:val="2"/>
            <w:vMerge w:val="continue"/>
            <w:vAlign w:val="center"/>
          </w:tcPr>
          <w:p w14:paraId="1C9B5AE6">
            <w:pPr>
              <w:jc w:val="center"/>
              <w:rPr>
                <w:rFonts w:ascii="宋体" w:hAnsi="宋体"/>
                <w:szCs w:val="21"/>
                <w:highlight w:val="none"/>
              </w:rPr>
            </w:pPr>
          </w:p>
        </w:tc>
        <w:tc>
          <w:tcPr>
            <w:tcW w:w="3398" w:type="dxa"/>
            <w:vAlign w:val="center"/>
          </w:tcPr>
          <w:p w14:paraId="73600821">
            <w:pPr>
              <w:jc w:val="center"/>
              <w:rPr>
                <w:rFonts w:ascii="宋体" w:hAnsi="宋体"/>
                <w:szCs w:val="21"/>
                <w:highlight w:val="none"/>
              </w:rPr>
            </w:pPr>
            <w:r>
              <w:rPr>
                <w:rFonts w:hint="eastAsia" w:ascii="宋体" w:hAnsi="宋体"/>
                <w:szCs w:val="21"/>
                <w:highlight w:val="none"/>
              </w:rPr>
              <w:t>低压配电箱空气断路器、自动切换开关、自动切换接触器、双电源转换开关</w:t>
            </w:r>
          </w:p>
        </w:tc>
        <w:tc>
          <w:tcPr>
            <w:tcW w:w="1800" w:type="dxa"/>
            <w:vAlign w:val="center"/>
          </w:tcPr>
          <w:p w14:paraId="76E00AB0">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0BEC7890">
            <w:pPr>
              <w:jc w:val="center"/>
              <w:rPr>
                <w:rFonts w:ascii="宋体" w:hAnsi="宋体"/>
                <w:szCs w:val="21"/>
                <w:highlight w:val="none"/>
              </w:rPr>
            </w:pPr>
            <w:r>
              <w:rPr>
                <w:rFonts w:hint="eastAsia" w:ascii="宋体" w:hAnsi="宋体"/>
                <w:szCs w:val="21"/>
                <w:highlight w:val="none"/>
              </w:rPr>
              <w:t>西门子</w:t>
            </w:r>
          </w:p>
          <w:p w14:paraId="05FA0961">
            <w:pPr>
              <w:jc w:val="center"/>
              <w:rPr>
                <w:rFonts w:ascii="宋体" w:hAnsi="宋体"/>
                <w:szCs w:val="21"/>
                <w:highlight w:val="none"/>
              </w:rPr>
            </w:pPr>
            <w:r>
              <w:rPr>
                <w:rFonts w:hint="eastAsia" w:ascii="宋体" w:hAnsi="宋体"/>
                <w:szCs w:val="21"/>
                <w:highlight w:val="none"/>
              </w:rPr>
              <w:t>ABB</w:t>
            </w:r>
          </w:p>
          <w:p w14:paraId="5BC665AE">
            <w:pPr>
              <w:jc w:val="center"/>
              <w:rPr>
                <w:rFonts w:ascii="宋体" w:hAnsi="宋体"/>
                <w:szCs w:val="21"/>
                <w:highlight w:val="none"/>
              </w:rPr>
            </w:pPr>
            <w:r>
              <w:rPr>
                <w:rFonts w:hint="eastAsia" w:ascii="宋体" w:hAnsi="宋体"/>
                <w:szCs w:val="21"/>
                <w:highlight w:val="none"/>
              </w:rPr>
              <w:t>施耐德</w:t>
            </w:r>
          </w:p>
        </w:tc>
        <w:tc>
          <w:tcPr>
            <w:tcW w:w="1050" w:type="dxa"/>
            <w:vAlign w:val="center"/>
          </w:tcPr>
          <w:p w14:paraId="74368890">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11F8F930">
            <w:pPr>
              <w:jc w:val="center"/>
              <w:rPr>
                <w:rFonts w:ascii="宋体" w:hAnsi="宋体"/>
                <w:szCs w:val="21"/>
                <w:highlight w:val="none"/>
              </w:rPr>
            </w:pPr>
            <w:r>
              <w:rPr>
                <w:rFonts w:hint="eastAsia" w:ascii="宋体" w:hAnsi="宋体"/>
                <w:szCs w:val="21"/>
                <w:highlight w:val="none"/>
              </w:rPr>
              <w:t>合资</w:t>
            </w:r>
          </w:p>
        </w:tc>
      </w:tr>
      <w:tr w14:paraId="06E96A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2F1272A2">
            <w:pPr>
              <w:jc w:val="center"/>
              <w:rPr>
                <w:rFonts w:ascii="宋体" w:hAnsi="宋体"/>
                <w:szCs w:val="21"/>
                <w:highlight w:val="none"/>
              </w:rPr>
            </w:pPr>
          </w:p>
        </w:tc>
        <w:tc>
          <w:tcPr>
            <w:tcW w:w="731" w:type="dxa"/>
            <w:gridSpan w:val="2"/>
            <w:vMerge w:val="continue"/>
            <w:vAlign w:val="center"/>
          </w:tcPr>
          <w:p w14:paraId="33A8D7B2">
            <w:pPr>
              <w:jc w:val="center"/>
              <w:rPr>
                <w:rFonts w:ascii="宋体" w:hAnsi="宋体"/>
                <w:szCs w:val="21"/>
                <w:highlight w:val="none"/>
              </w:rPr>
            </w:pPr>
          </w:p>
        </w:tc>
        <w:tc>
          <w:tcPr>
            <w:tcW w:w="3398" w:type="dxa"/>
            <w:vAlign w:val="center"/>
          </w:tcPr>
          <w:p w14:paraId="4901DDBC">
            <w:pPr>
              <w:jc w:val="center"/>
              <w:rPr>
                <w:rFonts w:ascii="宋体" w:hAnsi="宋体"/>
                <w:szCs w:val="21"/>
                <w:highlight w:val="none"/>
              </w:rPr>
            </w:pPr>
            <w:r>
              <w:rPr>
                <w:rFonts w:hint="eastAsia" w:ascii="宋体" w:hAnsi="宋体"/>
                <w:szCs w:val="21"/>
                <w:highlight w:val="none"/>
              </w:rPr>
              <w:t>母线槽</w:t>
            </w:r>
          </w:p>
        </w:tc>
        <w:tc>
          <w:tcPr>
            <w:tcW w:w="1800" w:type="dxa"/>
            <w:vAlign w:val="center"/>
          </w:tcPr>
          <w:p w14:paraId="13A4802C">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36809EDB">
            <w:pPr>
              <w:jc w:val="center"/>
              <w:rPr>
                <w:rFonts w:ascii="宋体" w:hAnsi="宋体"/>
                <w:szCs w:val="21"/>
                <w:highlight w:val="none"/>
              </w:rPr>
            </w:pPr>
            <w:r>
              <w:rPr>
                <w:rFonts w:hint="eastAsia" w:ascii="宋体" w:hAnsi="宋体"/>
                <w:szCs w:val="21"/>
                <w:highlight w:val="none"/>
              </w:rPr>
              <w:t>深圳越达</w:t>
            </w:r>
          </w:p>
          <w:p w14:paraId="48B9049B">
            <w:pPr>
              <w:jc w:val="center"/>
              <w:rPr>
                <w:rFonts w:ascii="宋体" w:hAnsi="宋体"/>
                <w:szCs w:val="21"/>
                <w:highlight w:val="none"/>
              </w:rPr>
            </w:pPr>
            <w:r>
              <w:rPr>
                <w:rFonts w:hint="eastAsia" w:ascii="宋体" w:hAnsi="宋体"/>
                <w:szCs w:val="21"/>
                <w:highlight w:val="none"/>
              </w:rPr>
              <w:t>广东思科</w:t>
            </w:r>
          </w:p>
          <w:p w14:paraId="56D5FB60">
            <w:pPr>
              <w:jc w:val="center"/>
              <w:rPr>
                <w:rFonts w:ascii="宋体" w:hAnsi="宋体"/>
                <w:szCs w:val="21"/>
                <w:highlight w:val="none"/>
              </w:rPr>
            </w:pPr>
            <w:r>
              <w:rPr>
                <w:rFonts w:hint="eastAsia" w:ascii="宋体" w:hAnsi="宋体"/>
                <w:szCs w:val="21"/>
                <w:highlight w:val="none"/>
              </w:rPr>
              <w:t>珠海光乐</w:t>
            </w:r>
          </w:p>
        </w:tc>
        <w:tc>
          <w:tcPr>
            <w:tcW w:w="1050" w:type="dxa"/>
            <w:vAlign w:val="center"/>
          </w:tcPr>
          <w:p w14:paraId="21F01922">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7076416B">
            <w:pPr>
              <w:jc w:val="center"/>
              <w:rPr>
                <w:rFonts w:ascii="宋体" w:hAnsi="宋体"/>
                <w:szCs w:val="21"/>
                <w:highlight w:val="none"/>
              </w:rPr>
            </w:pPr>
            <w:r>
              <w:rPr>
                <w:rFonts w:hint="eastAsia" w:ascii="宋体" w:hAnsi="宋体"/>
                <w:szCs w:val="21"/>
                <w:highlight w:val="none"/>
              </w:rPr>
              <w:t>深圳</w:t>
            </w:r>
          </w:p>
          <w:p w14:paraId="76D59218">
            <w:pPr>
              <w:jc w:val="center"/>
              <w:rPr>
                <w:rFonts w:ascii="宋体" w:hAnsi="宋体"/>
                <w:szCs w:val="21"/>
                <w:highlight w:val="none"/>
              </w:rPr>
            </w:pPr>
            <w:r>
              <w:rPr>
                <w:rFonts w:hint="eastAsia" w:ascii="宋体" w:hAnsi="宋体"/>
                <w:szCs w:val="21"/>
                <w:highlight w:val="none"/>
              </w:rPr>
              <w:t>广州</w:t>
            </w:r>
          </w:p>
          <w:p w14:paraId="7D3E85B4">
            <w:pPr>
              <w:jc w:val="center"/>
              <w:rPr>
                <w:rFonts w:ascii="宋体" w:hAnsi="宋体"/>
                <w:szCs w:val="21"/>
                <w:highlight w:val="none"/>
              </w:rPr>
            </w:pPr>
            <w:r>
              <w:rPr>
                <w:rFonts w:hint="eastAsia" w:ascii="宋体" w:hAnsi="宋体"/>
                <w:szCs w:val="21"/>
                <w:highlight w:val="none"/>
              </w:rPr>
              <w:t>珠海</w:t>
            </w:r>
          </w:p>
        </w:tc>
      </w:tr>
      <w:tr w14:paraId="333D4F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47B23A32">
            <w:pPr>
              <w:jc w:val="center"/>
              <w:rPr>
                <w:rFonts w:ascii="宋体" w:hAnsi="宋体"/>
                <w:szCs w:val="21"/>
                <w:highlight w:val="none"/>
              </w:rPr>
            </w:pPr>
          </w:p>
        </w:tc>
        <w:tc>
          <w:tcPr>
            <w:tcW w:w="731" w:type="dxa"/>
            <w:gridSpan w:val="2"/>
            <w:vMerge w:val="continue"/>
            <w:vAlign w:val="center"/>
          </w:tcPr>
          <w:p w14:paraId="778CE9B4">
            <w:pPr>
              <w:jc w:val="center"/>
              <w:rPr>
                <w:rFonts w:ascii="宋体" w:hAnsi="宋体"/>
                <w:szCs w:val="21"/>
                <w:highlight w:val="none"/>
              </w:rPr>
            </w:pPr>
          </w:p>
        </w:tc>
        <w:tc>
          <w:tcPr>
            <w:tcW w:w="3398" w:type="dxa"/>
            <w:vAlign w:val="center"/>
          </w:tcPr>
          <w:p w14:paraId="2FCCFF5D">
            <w:pPr>
              <w:jc w:val="center"/>
              <w:rPr>
                <w:rFonts w:ascii="宋体" w:hAnsi="宋体"/>
                <w:szCs w:val="21"/>
                <w:highlight w:val="none"/>
              </w:rPr>
            </w:pPr>
            <w:r>
              <w:rPr>
                <w:rFonts w:hint="eastAsia" w:ascii="宋体" w:hAnsi="宋体"/>
                <w:szCs w:val="21"/>
                <w:highlight w:val="none"/>
              </w:rPr>
              <w:t>镀锌电线管</w:t>
            </w:r>
          </w:p>
        </w:tc>
        <w:tc>
          <w:tcPr>
            <w:tcW w:w="1800" w:type="dxa"/>
            <w:vAlign w:val="center"/>
          </w:tcPr>
          <w:p w14:paraId="3E4D7477">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0DFE2157">
            <w:pPr>
              <w:jc w:val="center"/>
              <w:rPr>
                <w:rFonts w:ascii="宋体" w:hAnsi="宋体"/>
                <w:szCs w:val="21"/>
                <w:highlight w:val="none"/>
              </w:rPr>
            </w:pPr>
            <w:r>
              <w:rPr>
                <w:rFonts w:hint="eastAsia" w:ascii="宋体" w:hAnsi="宋体"/>
                <w:szCs w:val="21"/>
                <w:highlight w:val="none"/>
              </w:rPr>
              <w:t>宏际</w:t>
            </w:r>
          </w:p>
          <w:p w14:paraId="2E3B181F">
            <w:pPr>
              <w:jc w:val="center"/>
              <w:rPr>
                <w:rFonts w:ascii="宋体" w:hAnsi="宋体"/>
                <w:szCs w:val="21"/>
                <w:highlight w:val="none"/>
              </w:rPr>
            </w:pPr>
            <w:r>
              <w:rPr>
                <w:rFonts w:hint="eastAsia" w:ascii="宋体" w:hAnsi="宋体"/>
                <w:szCs w:val="21"/>
                <w:highlight w:val="none"/>
              </w:rPr>
              <w:t>珠江</w:t>
            </w:r>
          </w:p>
          <w:p w14:paraId="535DF163">
            <w:pPr>
              <w:jc w:val="center"/>
              <w:rPr>
                <w:rFonts w:ascii="宋体" w:hAnsi="宋体"/>
                <w:szCs w:val="21"/>
                <w:highlight w:val="none"/>
              </w:rPr>
            </w:pPr>
            <w:r>
              <w:rPr>
                <w:rFonts w:hint="eastAsia" w:ascii="宋体" w:hAnsi="宋体"/>
                <w:szCs w:val="21"/>
                <w:highlight w:val="none"/>
              </w:rPr>
              <w:t>华捷</w:t>
            </w:r>
          </w:p>
        </w:tc>
        <w:tc>
          <w:tcPr>
            <w:tcW w:w="1050" w:type="dxa"/>
            <w:vAlign w:val="center"/>
          </w:tcPr>
          <w:p w14:paraId="36EC189A">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286EC9B6">
            <w:pPr>
              <w:jc w:val="center"/>
              <w:rPr>
                <w:rFonts w:ascii="宋体" w:hAnsi="宋体"/>
                <w:szCs w:val="21"/>
                <w:highlight w:val="none"/>
              </w:rPr>
            </w:pPr>
            <w:r>
              <w:rPr>
                <w:rFonts w:hint="eastAsia" w:ascii="宋体" w:hAnsi="宋体"/>
                <w:szCs w:val="21"/>
                <w:highlight w:val="none"/>
              </w:rPr>
              <w:t>广州</w:t>
            </w:r>
          </w:p>
          <w:p w14:paraId="1DDDE895">
            <w:pPr>
              <w:jc w:val="center"/>
              <w:rPr>
                <w:rFonts w:ascii="宋体" w:hAnsi="宋体"/>
                <w:szCs w:val="21"/>
                <w:highlight w:val="none"/>
              </w:rPr>
            </w:pPr>
            <w:r>
              <w:rPr>
                <w:rFonts w:hint="eastAsia" w:ascii="宋体" w:hAnsi="宋体"/>
                <w:szCs w:val="21"/>
                <w:highlight w:val="none"/>
              </w:rPr>
              <w:t>广州</w:t>
            </w:r>
          </w:p>
          <w:p w14:paraId="53A15836">
            <w:pPr>
              <w:jc w:val="center"/>
              <w:rPr>
                <w:rFonts w:ascii="宋体" w:hAnsi="宋体"/>
                <w:szCs w:val="21"/>
                <w:highlight w:val="none"/>
              </w:rPr>
            </w:pPr>
            <w:r>
              <w:rPr>
                <w:rFonts w:hint="eastAsia" w:ascii="宋体" w:hAnsi="宋体"/>
                <w:szCs w:val="21"/>
                <w:highlight w:val="none"/>
              </w:rPr>
              <w:t>中山</w:t>
            </w:r>
          </w:p>
        </w:tc>
      </w:tr>
      <w:tr w14:paraId="572651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52C79FD5">
            <w:pPr>
              <w:jc w:val="center"/>
              <w:rPr>
                <w:rFonts w:ascii="宋体" w:hAnsi="宋体"/>
                <w:szCs w:val="21"/>
                <w:highlight w:val="none"/>
              </w:rPr>
            </w:pPr>
          </w:p>
        </w:tc>
        <w:tc>
          <w:tcPr>
            <w:tcW w:w="731" w:type="dxa"/>
            <w:gridSpan w:val="2"/>
            <w:vMerge w:val="continue"/>
            <w:vAlign w:val="center"/>
          </w:tcPr>
          <w:p w14:paraId="334ED2BA">
            <w:pPr>
              <w:jc w:val="center"/>
              <w:rPr>
                <w:rFonts w:ascii="宋体" w:hAnsi="宋体"/>
                <w:szCs w:val="21"/>
                <w:highlight w:val="none"/>
              </w:rPr>
            </w:pPr>
          </w:p>
        </w:tc>
        <w:tc>
          <w:tcPr>
            <w:tcW w:w="3398" w:type="dxa"/>
            <w:vAlign w:val="center"/>
          </w:tcPr>
          <w:p w14:paraId="301C4D89">
            <w:pPr>
              <w:jc w:val="center"/>
              <w:rPr>
                <w:rFonts w:ascii="宋体" w:hAnsi="宋体"/>
                <w:szCs w:val="21"/>
                <w:highlight w:val="none"/>
              </w:rPr>
            </w:pPr>
            <w:r>
              <w:rPr>
                <w:rFonts w:hint="eastAsia" w:ascii="宋体" w:hAnsi="宋体"/>
                <w:szCs w:val="21"/>
                <w:highlight w:val="none"/>
              </w:rPr>
              <w:t>电线、电缆</w:t>
            </w:r>
          </w:p>
        </w:tc>
        <w:tc>
          <w:tcPr>
            <w:tcW w:w="1800" w:type="dxa"/>
            <w:vAlign w:val="center"/>
          </w:tcPr>
          <w:p w14:paraId="66A856C7">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7533B0BB">
            <w:pPr>
              <w:jc w:val="center"/>
              <w:rPr>
                <w:rFonts w:ascii="宋体" w:hAnsi="宋体"/>
                <w:szCs w:val="21"/>
                <w:highlight w:val="none"/>
              </w:rPr>
            </w:pPr>
            <w:r>
              <w:rPr>
                <w:rFonts w:hint="eastAsia" w:ascii="宋体" w:hAnsi="宋体"/>
                <w:szCs w:val="21"/>
                <w:highlight w:val="none"/>
              </w:rPr>
              <w:t>广东电缆</w:t>
            </w:r>
          </w:p>
          <w:p w14:paraId="3CED90EC">
            <w:pPr>
              <w:jc w:val="center"/>
              <w:rPr>
                <w:rFonts w:ascii="宋体" w:hAnsi="宋体"/>
                <w:szCs w:val="21"/>
                <w:highlight w:val="none"/>
              </w:rPr>
            </w:pPr>
            <w:r>
              <w:rPr>
                <w:rFonts w:hint="eastAsia" w:ascii="宋体" w:hAnsi="宋体"/>
                <w:szCs w:val="21"/>
                <w:highlight w:val="none"/>
              </w:rPr>
              <w:t>广州电缆</w:t>
            </w:r>
          </w:p>
          <w:p w14:paraId="07B10D42">
            <w:pPr>
              <w:jc w:val="center"/>
              <w:rPr>
                <w:rFonts w:ascii="宋体" w:hAnsi="宋体"/>
                <w:szCs w:val="21"/>
                <w:highlight w:val="none"/>
              </w:rPr>
            </w:pPr>
            <w:r>
              <w:rPr>
                <w:rFonts w:hint="eastAsia" w:ascii="宋体" w:hAnsi="宋体"/>
                <w:szCs w:val="21"/>
                <w:highlight w:val="none"/>
              </w:rPr>
              <w:t>珠江电缆</w:t>
            </w:r>
          </w:p>
        </w:tc>
        <w:tc>
          <w:tcPr>
            <w:tcW w:w="1050" w:type="dxa"/>
            <w:vAlign w:val="center"/>
          </w:tcPr>
          <w:p w14:paraId="75D7AFE1">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76A6C26A">
            <w:pPr>
              <w:jc w:val="center"/>
              <w:rPr>
                <w:rFonts w:ascii="宋体" w:hAnsi="宋体"/>
                <w:szCs w:val="21"/>
                <w:highlight w:val="none"/>
              </w:rPr>
            </w:pPr>
            <w:r>
              <w:rPr>
                <w:rFonts w:hint="eastAsia" w:ascii="宋体" w:hAnsi="宋体"/>
                <w:szCs w:val="21"/>
                <w:highlight w:val="none"/>
              </w:rPr>
              <w:t>广州</w:t>
            </w:r>
          </w:p>
          <w:p w14:paraId="4F262C4C">
            <w:pPr>
              <w:jc w:val="center"/>
              <w:rPr>
                <w:rFonts w:ascii="宋体" w:hAnsi="宋体"/>
                <w:szCs w:val="21"/>
                <w:highlight w:val="none"/>
              </w:rPr>
            </w:pPr>
            <w:r>
              <w:rPr>
                <w:rFonts w:hint="eastAsia" w:ascii="宋体" w:hAnsi="宋体"/>
                <w:szCs w:val="21"/>
                <w:highlight w:val="none"/>
              </w:rPr>
              <w:t>广州</w:t>
            </w:r>
          </w:p>
          <w:p w14:paraId="7DEE3284">
            <w:pPr>
              <w:jc w:val="center"/>
              <w:rPr>
                <w:rFonts w:ascii="宋体" w:hAnsi="宋体"/>
                <w:szCs w:val="21"/>
                <w:highlight w:val="none"/>
              </w:rPr>
            </w:pPr>
            <w:r>
              <w:rPr>
                <w:rFonts w:hint="eastAsia" w:ascii="宋体" w:hAnsi="宋体"/>
                <w:szCs w:val="21"/>
                <w:highlight w:val="none"/>
              </w:rPr>
              <w:t>广州</w:t>
            </w:r>
          </w:p>
        </w:tc>
      </w:tr>
      <w:tr w14:paraId="7B6BAA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1366" w:hRule="atLeast"/>
          <w:jc w:val="center"/>
        </w:trPr>
        <w:tc>
          <w:tcPr>
            <w:tcW w:w="477" w:type="dxa"/>
            <w:vMerge w:val="continue"/>
            <w:vAlign w:val="center"/>
          </w:tcPr>
          <w:p w14:paraId="0392B6D6">
            <w:pPr>
              <w:jc w:val="center"/>
              <w:rPr>
                <w:rFonts w:ascii="宋体" w:hAnsi="宋体"/>
                <w:szCs w:val="21"/>
                <w:highlight w:val="none"/>
              </w:rPr>
            </w:pPr>
          </w:p>
        </w:tc>
        <w:tc>
          <w:tcPr>
            <w:tcW w:w="731" w:type="dxa"/>
            <w:gridSpan w:val="2"/>
            <w:vMerge w:val="continue"/>
            <w:vAlign w:val="center"/>
          </w:tcPr>
          <w:p w14:paraId="7280C826">
            <w:pPr>
              <w:jc w:val="center"/>
              <w:rPr>
                <w:rFonts w:ascii="宋体" w:hAnsi="宋体"/>
                <w:szCs w:val="21"/>
                <w:highlight w:val="none"/>
              </w:rPr>
            </w:pPr>
          </w:p>
        </w:tc>
        <w:tc>
          <w:tcPr>
            <w:tcW w:w="3398" w:type="dxa"/>
            <w:vAlign w:val="center"/>
          </w:tcPr>
          <w:p w14:paraId="7EE8F29B">
            <w:pPr>
              <w:jc w:val="center"/>
              <w:rPr>
                <w:rFonts w:ascii="宋体" w:hAnsi="宋体"/>
                <w:szCs w:val="21"/>
                <w:highlight w:val="none"/>
              </w:rPr>
            </w:pPr>
            <w:r>
              <w:rPr>
                <w:rFonts w:hint="eastAsia" w:ascii="宋体" w:hAnsi="宋体"/>
                <w:szCs w:val="21"/>
                <w:highlight w:val="none"/>
              </w:rPr>
              <w:t>开关插座</w:t>
            </w:r>
          </w:p>
        </w:tc>
        <w:tc>
          <w:tcPr>
            <w:tcW w:w="1800" w:type="dxa"/>
            <w:vAlign w:val="center"/>
          </w:tcPr>
          <w:p w14:paraId="22F87336">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6BAFFBB2">
            <w:pPr>
              <w:jc w:val="center"/>
              <w:rPr>
                <w:rFonts w:ascii="宋体" w:hAnsi="宋体"/>
                <w:szCs w:val="21"/>
                <w:highlight w:val="none"/>
              </w:rPr>
            </w:pPr>
            <w:r>
              <w:rPr>
                <w:rFonts w:hint="eastAsia" w:ascii="宋体" w:hAnsi="宋体"/>
                <w:szCs w:val="21"/>
                <w:highlight w:val="none"/>
              </w:rPr>
              <w:t>施耐德</w:t>
            </w:r>
          </w:p>
          <w:p w14:paraId="20BB9514">
            <w:pPr>
              <w:jc w:val="center"/>
              <w:rPr>
                <w:rFonts w:ascii="宋体" w:hAnsi="宋体"/>
                <w:szCs w:val="21"/>
                <w:highlight w:val="none"/>
              </w:rPr>
            </w:pPr>
            <w:r>
              <w:rPr>
                <w:rFonts w:hint="eastAsia" w:ascii="宋体" w:hAnsi="宋体"/>
                <w:szCs w:val="21"/>
                <w:highlight w:val="none"/>
              </w:rPr>
              <w:t>西门子</w:t>
            </w:r>
          </w:p>
          <w:p w14:paraId="1F95C858">
            <w:pPr>
              <w:jc w:val="center"/>
              <w:rPr>
                <w:rFonts w:ascii="宋体" w:hAnsi="宋体"/>
                <w:szCs w:val="21"/>
                <w:highlight w:val="none"/>
              </w:rPr>
            </w:pPr>
            <w:r>
              <w:rPr>
                <w:rFonts w:hint="eastAsia" w:ascii="宋体" w:hAnsi="宋体"/>
                <w:szCs w:val="21"/>
                <w:highlight w:val="none"/>
              </w:rPr>
              <w:t>ABB</w:t>
            </w:r>
          </w:p>
        </w:tc>
        <w:tc>
          <w:tcPr>
            <w:tcW w:w="1050" w:type="dxa"/>
            <w:vAlign w:val="center"/>
          </w:tcPr>
          <w:p w14:paraId="358FB976">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563D7BA6">
            <w:pPr>
              <w:jc w:val="center"/>
              <w:rPr>
                <w:rFonts w:ascii="宋体" w:hAnsi="宋体"/>
                <w:szCs w:val="21"/>
                <w:highlight w:val="none"/>
              </w:rPr>
            </w:pPr>
            <w:r>
              <w:rPr>
                <w:rFonts w:hint="eastAsia" w:ascii="宋体" w:hAnsi="宋体"/>
                <w:szCs w:val="21"/>
                <w:highlight w:val="none"/>
              </w:rPr>
              <w:t>合资</w:t>
            </w:r>
          </w:p>
        </w:tc>
      </w:tr>
      <w:tr w14:paraId="02CA08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015D633F">
            <w:pPr>
              <w:jc w:val="center"/>
              <w:rPr>
                <w:rFonts w:ascii="宋体" w:hAnsi="宋体"/>
                <w:szCs w:val="21"/>
                <w:highlight w:val="none"/>
              </w:rPr>
            </w:pPr>
          </w:p>
        </w:tc>
        <w:tc>
          <w:tcPr>
            <w:tcW w:w="731" w:type="dxa"/>
            <w:gridSpan w:val="2"/>
            <w:vMerge w:val="continue"/>
            <w:tcBorders>
              <w:bottom w:val="nil"/>
            </w:tcBorders>
            <w:vAlign w:val="center"/>
          </w:tcPr>
          <w:p w14:paraId="106AAFB7">
            <w:pPr>
              <w:jc w:val="center"/>
              <w:rPr>
                <w:rFonts w:ascii="宋体" w:hAnsi="宋体"/>
                <w:szCs w:val="21"/>
                <w:highlight w:val="none"/>
              </w:rPr>
            </w:pPr>
          </w:p>
        </w:tc>
        <w:tc>
          <w:tcPr>
            <w:tcW w:w="3398" w:type="dxa"/>
            <w:vAlign w:val="center"/>
          </w:tcPr>
          <w:p w14:paraId="13ED31EB">
            <w:pPr>
              <w:jc w:val="center"/>
              <w:rPr>
                <w:rFonts w:ascii="宋体" w:hAnsi="宋体"/>
                <w:szCs w:val="21"/>
                <w:highlight w:val="none"/>
              </w:rPr>
            </w:pPr>
            <w:r>
              <w:rPr>
                <w:rFonts w:hint="eastAsia" w:ascii="宋体" w:hAnsi="宋体"/>
                <w:szCs w:val="21"/>
                <w:highlight w:val="none"/>
              </w:rPr>
              <w:t>灯具</w:t>
            </w:r>
          </w:p>
        </w:tc>
        <w:tc>
          <w:tcPr>
            <w:tcW w:w="1800" w:type="dxa"/>
            <w:vAlign w:val="center"/>
          </w:tcPr>
          <w:p w14:paraId="057A0BDD">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2DAE6F43">
            <w:pPr>
              <w:jc w:val="center"/>
              <w:rPr>
                <w:rFonts w:ascii="宋体" w:hAnsi="宋体"/>
                <w:szCs w:val="21"/>
                <w:highlight w:val="none"/>
              </w:rPr>
            </w:pPr>
            <w:r>
              <w:rPr>
                <w:rFonts w:hint="eastAsia" w:ascii="宋体" w:hAnsi="宋体"/>
                <w:szCs w:val="21"/>
                <w:highlight w:val="none"/>
              </w:rPr>
              <w:t>欧普</w:t>
            </w:r>
          </w:p>
          <w:p w14:paraId="4D18008F">
            <w:pPr>
              <w:jc w:val="center"/>
              <w:rPr>
                <w:rFonts w:ascii="宋体" w:hAnsi="宋体"/>
                <w:szCs w:val="21"/>
                <w:highlight w:val="none"/>
              </w:rPr>
            </w:pPr>
            <w:r>
              <w:rPr>
                <w:rFonts w:hint="eastAsia" w:ascii="宋体" w:hAnsi="宋体"/>
                <w:szCs w:val="21"/>
                <w:highlight w:val="none"/>
              </w:rPr>
              <w:t>三雄极光</w:t>
            </w:r>
          </w:p>
          <w:p w14:paraId="5D430177">
            <w:pPr>
              <w:jc w:val="center"/>
              <w:rPr>
                <w:rFonts w:ascii="宋体" w:hAnsi="宋体"/>
                <w:szCs w:val="21"/>
                <w:highlight w:val="none"/>
              </w:rPr>
            </w:pPr>
            <w:r>
              <w:rPr>
                <w:rFonts w:hint="eastAsia" w:ascii="宋体" w:hAnsi="宋体"/>
                <w:szCs w:val="21"/>
                <w:highlight w:val="none"/>
              </w:rPr>
              <w:t>百分百</w:t>
            </w:r>
          </w:p>
        </w:tc>
        <w:tc>
          <w:tcPr>
            <w:tcW w:w="1050" w:type="dxa"/>
            <w:vAlign w:val="center"/>
          </w:tcPr>
          <w:p w14:paraId="125FA647">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4CE31C0E">
            <w:pPr>
              <w:jc w:val="center"/>
              <w:rPr>
                <w:rFonts w:ascii="宋体" w:hAnsi="宋体"/>
                <w:szCs w:val="21"/>
                <w:highlight w:val="none"/>
              </w:rPr>
            </w:pPr>
            <w:r>
              <w:rPr>
                <w:rFonts w:hint="eastAsia" w:ascii="宋体" w:hAnsi="宋体"/>
                <w:szCs w:val="21"/>
                <w:highlight w:val="none"/>
              </w:rPr>
              <w:t>中山</w:t>
            </w:r>
          </w:p>
          <w:p w14:paraId="033B811A">
            <w:pPr>
              <w:jc w:val="center"/>
              <w:rPr>
                <w:rFonts w:ascii="宋体" w:hAnsi="宋体"/>
                <w:szCs w:val="21"/>
                <w:highlight w:val="none"/>
              </w:rPr>
            </w:pPr>
            <w:r>
              <w:rPr>
                <w:rFonts w:hint="eastAsia" w:ascii="宋体" w:hAnsi="宋体"/>
                <w:szCs w:val="21"/>
                <w:highlight w:val="none"/>
              </w:rPr>
              <w:t>江门</w:t>
            </w:r>
          </w:p>
          <w:p w14:paraId="6D78B648">
            <w:pPr>
              <w:jc w:val="center"/>
              <w:rPr>
                <w:rFonts w:ascii="宋体" w:hAnsi="宋体"/>
                <w:szCs w:val="21"/>
                <w:highlight w:val="none"/>
              </w:rPr>
            </w:pPr>
            <w:r>
              <w:rPr>
                <w:rFonts w:hint="eastAsia" w:ascii="宋体" w:hAnsi="宋体"/>
                <w:szCs w:val="21"/>
                <w:highlight w:val="none"/>
              </w:rPr>
              <w:t>东莞</w:t>
            </w:r>
          </w:p>
        </w:tc>
      </w:tr>
      <w:tr w14:paraId="31F074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956" w:hRule="atLeast"/>
          <w:jc w:val="center"/>
        </w:trPr>
        <w:tc>
          <w:tcPr>
            <w:tcW w:w="477" w:type="dxa"/>
            <w:vMerge w:val="continue"/>
            <w:vAlign w:val="center"/>
          </w:tcPr>
          <w:p w14:paraId="316C2904">
            <w:pPr>
              <w:jc w:val="center"/>
              <w:rPr>
                <w:rFonts w:ascii="宋体" w:hAnsi="宋体"/>
                <w:szCs w:val="21"/>
                <w:highlight w:val="none"/>
              </w:rPr>
            </w:pPr>
          </w:p>
        </w:tc>
        <w:tc>
          <w:tcPr>
            <w:tcW w:w="495" w:type="dxa"/>
            <w:vMerge w:val="restart"/>
            <w:tcBorders>
              <w:top w:val="nil"/>
              <w:right w:val="nil"/>
            </w:tcBorders>
            <w:vAlign w:val="center"/>
          </w:tcPr>
          <w:p w14:paraId="4D7DACDC">
            <w:pPr>
              <w:jc w:val="center"/>
              <w:rPr>
                <w:rFonts w:ascii="宋体" w:hAnsi="宋体"/>
                <w:szCs w:val="21"/>
                <w:highlight w:val="none"/>
              </w:rPr>
            </w:pPr>
          </w:p>
        </w:tc>
        <w:tc>
          <w:tcPr>
            <w:tcW w:w="236" w:type="dxa"/>
            <w:vMerge w:val="restart"/>
            <w:tcBorders>
              <w:top w:val="nil"/>
              <w:left w:val="nil"/>
            </w:tcBorders>
            <w:vAlign w:val="center"/>
          </w:tcPr>
          <w:p w14:paraId="2374FDE0">
            <w:pPr>
              <w:jc w:val="center"/>
              <w:rPr>
                <w:rFonts w:ascii="宋体" w:hAnsi="宋体"/>
                <w:szCs w:val="21"/>
                <w:highlight w:val="none"/>
              </w:rPr>
            </w:pPr>
          </w:p>
        </w:tc>
        <w:tc>
          <w:tcPr>
            <w:tcW w:w="3398" w:type="dxa"/>
            <w:vAlign w:val="center"/>
          </w:tcPr>
          <w:p w14:paraId="50C2C748">
            <w:pPr>
              <w:jc w:val="center"/>
              <w:rPr>
                <w:rFonts w:ascii="宋体" w:hAnsi="宋体"/>
                <w:szCs w:val="21"/>
                <w:highlight w:val="none"/>
              </w:rPr>
            </w:pPr>
            <w:r>
              <w:rPr>
                <w:rFonts w:hint="eastAsia" w:ascii="宋体" w:hAnsi="宋体"/>
                <w:szCs w:val="21"/>
                <w:highlight w:val="none"/>
              </w:rPr>
              <w:t>排风机</w:t>
            </w:r>
          </w:p>
        </w:tc>
        <w:tc>
          <w:tcPr>
            <w:tcW w:w="1800" w:type="dxa"/>
            <w:vAlign w:val="center"/>
          </w:tcPr>
          <w:p w14:paraId="08F24924">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03101B28">
            <w:pPr>
              <w:jc w:val="center"/>
              <w:rPr>
                <w:rFonts w:ascii="宋体" w:hAnsi="宋体"/>
                <w:szCs w:val="21"/>
                <w:highlight w:val="none"/>
              </w:rPr>
            </w:pPr>
            <w:r>
              <w:rPr>
                <w:rFonts w:hint="eastAsia" w:ascii="宋体" w:hAnsi="宋体"/>
                <w:szCs w:val="21"/>
                <w:highlight w:val="none"/>
              </w:rPr>
              <w:t>南方</w:t>
            </w:r>
          </w:p>
          <w:p w14:paraId="50F82C2B">
            <w:pPr>
              <w:jc w:val="center"/>
              <w:rPr>
                <w:rFonts w:ascii="宋体" w:hAnsi="宋体"/>
                <w:szCs w:val="21"/>
                <w:highlight w:val="none"/>
              </w:rPr>
            </w:pPr>
            <w:r>
              <w:rPr>
                <w:rFonts w:hint="eastAsia" w:ascii="宋体" w:hAnsi="宋体"/>
                <w:szCs w:val="21"/>
                <w:highlight w:val="none"/>
              </w:rPr>
              <w:t>源绿品</w:t>
            </w:r>
          </w:p>
          <w:p w14:paraId="64693AFB">
            <w:pPr>
              <w:jc w:val="center"/>
              <w:rPr>
                <w:rFonts w:ascii="宋体" w:hAnsi="宋体"/>
                <w:szCs w:val="21"/>
                <w:highlight w:val="none"/>
              </w:rPr>
            </w:pPr>
            <w:r>
              <w:rPr>
                <w:rFonts w:hint="eastAsia" w:ascii="宋体" w:hAnsi="宋体"/>
                <w:szCs w:val="21"/>
                <w:highlight w:val="none"/>
              </w:rPr>
              <w:t>红星</w:t>
            </w:r>
          </w:p>
        </w:tc>
        <w:tc>
          <w:tcPr>
            <w:tcW w:w="1050" w:type="dxa"/>
            <w:vAlign w:val="center"/>
          </w:tcPr>
          <w:p w14:paraId="6217AE8C">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131FF673">
            <w:pPr>
              <w:jc w:val="center"/>
              <w:rPr>
                <w:rFonts w:ascii="宋体" w:hAnsi="宋体"/>
                <w:szCs w:val="21"/>
                <w:highlight w:val="none"/>
              </w:rPr>
            </w:pPr>
            <w:r>
              <w:rPr>
                <w:rFonts w:hint="eastAsia" w:ascii="宋体" w:hAnsi="宋体"/>
                <w:szCs w:val="21"/>
                <w:highlight w:val="none"/>
              </w:rPr>
              <w:t>南海</w:t>
            </w:r>
          </w:p>
          <w:p w14:paraId="46391B7D">
            <w:pPr>
              <w:jc w:val="center"/>
              <w:rPr>
                <w:rFonts w:ascii="宋体" w:hAnsi="宋体"/>
                <w:szCs w:val="21"/>
                <w:highlight w:val="none"/>
              </w:rPr>
            </w:pPr>
            <w:r>
              <w:rPr>
                <w:rFonts w:hint="eastAsia" w:ascii="宋体" w:hAnsi="宋体"/>
                <w:szCs w:val="21"/>
                <w:highlight w:val="none"/>
              </w:rPr>
              <w:t>佛山</w:t>
            </w:r>
          </w:p>
          <w:p w14:paraId="124003DA">
            <w:pPr>
              <w:jc w:val="center"/>
              <w:rPr>
                <w:rFonts w:ascii="宋体" w:hAnsi="宋体"/>
                <w:szCs w:val="21"/>
                <w:highlight w:val="none"/>
              </w:rPr>
            </w:pPr>
            <w:r>
              <w:rPr>
                <w:rFonts w:hint="eastAsia" w:ascii="宋体" w:hAnsi="宋体"/>
                <w:szCs w:val="21"/>
                <w:highlight w:val="none"/>
              </w:rPr>
              <w:t>广州</w:t>
            </w:r>
          </w:p>
        </w:tc>
      </w:tr>
      <w:tr w14:paraId="5E6F17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36EB8B2D">
            <w:pPr>
              <w:jc w:val="center"/>
              <w:rPr>
                <w:rFonts w:ascii="宋体" w:hAnsi="宋体"/>
                <w:szCs w:val="21"/>
                <w:highlight w:val="none"/>
              </w:rPr>
            </w:pPr>
          </w:p>
        </w:tc>
        <w:tc>
          <w:tcPr>
            <w:tcW w:w="495" w:type="dxa"/>
            <w:vMerge w:val="continue"/>
            <w:tcBorders>
              <w:right w:val="nil"/>
            </w:tcBorders>
            <w:vAlign w:val="center"/>
          </w:tcPr>
          <w:p w14:paraId="46838649">
            <w:pPr>
              <w:jc w:val="center"/>
              <w:rPr>
                <w:rFonts w:ascii="宋体" w:hAnsi="宋体"/>
                <w:szCs w:val="21"/>
                <w:highlight w:val="none"/>
              </w:rPr>
            </w:pPr>
          </w:p>
        </w:tc>
        <w:tc>
          <w:tcPr>
            <w:tcW w:w="236" w:type="dxa"/>
            <w:vMerge w:val="continue"/>
            <w:tcBorders>
              <w:left w:val="nil"/>
            </w:tcBorders>
            <w:vAlign w:val="center"/>
          </w:tcPr>
          <w:p w14:paraId="23B3B4F1">
            <w:pPr>
              <w:jc w:val="center"/>
              <w:rPr>
                <w:rFonts w:ascii="宋体" w:hAnsi="宋体"/>
                <w:szCs w:val="21"/>
                <w:highlight w:val="none"/>
              </w:rPr>
            </w:pPr>
          </w:p>
        </w:tc>
        <w:tc>
          <w:tcPr>
            <w:tcW w:w="3398" w:type="dxa"/>
            <w:vAlign w:val="center"/>
          </w:tcPr>
          <w:p w14:paraId="4D1909ED">
            <w:pPr>
              <w:jc w:val="center"/>
              <w:rPr>
                <w:rFonts w:ascii="宋体" w:hAnsi="宋体"/>
                <w:szCs w:val="21"/>
                <w:highlight w:val="none"/>
              </w:rPr>
            </w:pPr>
            <w:r>
              <w:rPr>
                <w:rFonts w:hint="eastAsia" w:ascii="宋体" w:hAnsi="宋体"/>
                <w:szCs w:val="21"/>
                <w:highlight w:val="none"/>
              </w:rPr>
              <w:t>换气扇</w:t>
            </w:r>
          </w:p>
        </w:tc>
        <w:tc>
          <w:tcPr>
            <w:tcW w:w="1800" w:type="dxa"/>
            <w:vAlign w:val="center"/>
          </w:tcPr>
          <w:p w14:paraId="24AB712A">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6B30E060">
            <w:pPr>
              <w:jc w:val="center"/>
              <w:rPr>
                <w:rFonts w:ascii="宋体" w:hAnsi="宋体"/>
                <w:szCs w:val="21"/>
                <w:highlight w:val="none"/>
              </w:rPr>
            </w:pPr>
            <w:r>
              <w:rPr>
                <w:rFonts w:hint="eastAsia" w:ascii="宋体" w:hAnsi="宋体"/>
                <w:szCs w:val="21"/>
                <w:highlight w:val="none"/>
              </w:rPr>
              <w:t>美的</w:t>
            </w:r>
          </w:p>
          <w:p w14:paraId="005E5E6E">
            <w:pPr>
              <w:jc w:val="center"/>
              <w:rPr>
                <w:rFonts w:ascii="宋体" w:hAnsi="宋体"/>
                <w:szCs w:val="21"/>
                <w:highlight w:val="none"/>
              </w:rPr>
            </w:pPr>
            <w:r>
              <w:rPr>
                <w:rFonts w:hint="eastAsia" w:ascii="宋体" w:hAnsi="宋体"/>
                <w:szCs w:val="21"/>
                <w:highlight w:val="none"/>
              </w:rPr>
              <w:t>正野</w:t>
            </w:r>
          </w:p>
          <w:p w14:paraId="1B2CD4E6">
            <w:pPr>
              <w:jc w:val="center"/>
              <w:rPr>
                <w:rFonts w:ascii="宋体" w:hAnsi="宋体"/>
                <w:szCs w:val="21"/>
                <w:highlight w:val="none"/>
              </w:rPr>
            </w:pPr>
            <w:r>
              <w:rPr>
                <w:rFonts w:hint="eastAsia" w:ascii="宋体" w:hAnsi="宋体"/>
                <w:szCs w:val="21"/>
                <w:highlight w:val="none"/>
              </w:rPr>
              <w:t>艾美特</w:t>
            </w:r>
          </w:p>
        </w:tc>
        <w:tc>
          <w:tcPr>
            <w:tcW w:w="1050" w:type="dxa"/>
            <w:vAlign w:val="center"/>
          </w:tcPr>
          <w:p w14:paraId="117F242A">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7C3B57C9">
            <w:pPr>
              <w:jc w:val="center"/>
              <w:rPr>
                <w:rFonts w:ascii="宋体" w:hAnsi="宋体"/>
                <w:szCs w:val="21"/>
                <w:highlight w:val="none"/>
              </w:rPr>
            </w:pPr>
            <w:r>
              <w:rPr>
                <w:rFonts w:hint="eastAsia" w:ascii="宋体" w:hAnsi="宋体"/>
                <w:szCs w:val="21"/>
                <w:highlight w:val="none"/>
              </w:rPr>
              <w:t>佛山</w:t>
            </w:r>
          </w:p>
          <w:p w14:paraId="091CA0F3">
            <w:pPr>
              <w:jc w:val="center"/>
              <w:rPr>
                <w:rFonts w:ascii="宋体" w:hAnsi="宋体"/>
                <w:szCs w:val="21"/>
                <w:highlight w:val="none"/>
              </w:rPr>
            </w:pPr>
            <w:r>
              <w:rPr>
                <w:rFonts w:hint="eastAsia" w:ascii="宋体" w:hAnsi="宋体"/>
                <w:szCs w:val="21"/>
                <w:highlight w:val="none"/>
              </w:rPr>
              <w:t>佛山</w:t>
            </w:r>
          </w:p>
          <w:p w14:paraId="7D4462B5">
            <w:pPr>
              <w:jc w:val="center"/>
              <w:rPr>
                <w:rFonts w:ascii="宋体" w:hAnsi="宋体"/>
                <w:szCs w:val="21"/>
                <w:highlight w:val="none"/>
              </w:rPr>
            </w:pPr>
            <w:r>
              <w:rPr>
                <w:rFonts w:hint="eastAsia" w:ascii="宋体" w:hAnsi="宋体"/>
                <w:szCs w:val="21"/>
                <w:highlight w:val="none"/>
              </w:rPr>
              <w:t>广东</w:t>
            </w:r>
          </w:p>
        </w:tc>
      </w:tr>
      <w:tr w14:paraId="7932E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52224DA5">
            <w:pPr>
              <w:jc w:val="center"/>
              <w:rPr>
                <w:rFonts w:ascii="宋体" w:hAnsi="宋体"/>
                <w:szCs w:val="21"/>
                <w:highlight w:val="none"/>
              </w:rPr>
            </w:pPr>
          </w:p>
        </w:tc>
        <w:tc>
          <w:tcPr>
            <w:tcW w:w="495" w:type="dxa"/>
            <w:vMerge w:val="continue"/>
            <w:tcBorders>
              <w:right w:val="nil"/>
            </w:tcBorders>
            <w:vAlign w:val="center"/>
          </w:tcPr>
          <w:p w14:paraId="1D526AFC">
            <w:pPr>
              <w:jc w:val="center"/>
              <w:rPr>
                <w:rFonts w:ascii="宋体" w:hAnsi="宋体"/>
                <w:szCs w:val="21"/>
                <w:highlight w:val="none"/>
              </w:rPr>
            </w:pPr>
          </w:p>
        </w:tc>
        <w:tc>
          <w:tcPr>
            <w:tcW w:w="236" w:type="dxa"/>
            <w:vMerge w:val="continue"/>
            <w:tcBorders>
              <w:left w:val="nil"/>
            </w:tcBorders>
            <w:vAlign w:val="center"/>
          </w:tcPr>
          <w:p w14:paraId="7C55D719">
            <w:pPr>
              <w:jc w:val="center"/>
              <w:rPr>
                <w:rFonts w:ascii="宋体" w:hAnsi="宋体"/>
                <w:szCs w:val="21"/>
                <w:highlight w:val="none"/>
              </w:rPr>
            </w:pPr>
          </w:p>
        </w:tc>
        <w:tc>
          <w:tcPr>
            <w:tcW w:w="3398" w:type="dxa"/>
            <w:vAlign w:val="center"/>
          </w:tcPr>
          <w:p w14:paraId="2F89D196">
            <w:pPr>
              <w:jc w:val="center"/>
              <w:rPr>
                <w:rFonts w:ascii="宋体" w:hAnsi="宋体"/>
                <w:szCs w:val="21"/>
                <w:highlight w:val="none"/>
              </w:rPr>
            </w:pPr>
            <w:r>
              <w:rPr>
                <w:rFonts w:hint="eastAsia" w:ascii="宋体" w:hAnsi="宋体"/>
                <w:szCs w:val="21"/>
                <w:highlight w:val="none"/>
              </w:rPr>
              <w:t>风口、散流器、百叶风口</w:t>
            </w:r>
          </w:p>
        </w:tc>
        <w:tc>
          <w:tcPr>
            <w:tcW w:w="1800" w:type="dxa"/>
            <w:vAlign w:val="center"/>
          </w:tcPr>
          <w:p w14:paraId="483079D9">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0B851FC3">
            <w:pPr>
              <w:jc w:val="center"/>
              <w:rPr>
                <w:rFonts w:ascii="宋体" w:hAnsi="宋体"/>
                <w:szCs w:val="21"/>
                <w:highlight w:val="none"/>
              </w:rPr>
            </w:pPr>
            <w:r>
              <w:rPr>
                <w:rFonts w:hint="eastAsia" w:ascii="宋体" w:hAnsi="宋体"/>
                <w:szCs w:val="21"/>
                <w:highlight w:val="none"/>
              </w:rPr>
              <w:t>耀安</w:t>
            </w:r>
          </w:p>
          <w:p w14:paraId="6D74BAA6">
            <w:pPr>
              <w:jc w:val="center"/>
              <w:rPr>
                <w:rFonts w:ascii="宋体" w:hAnsi="宋体"/>
                <w:szCs w:val="21"/>
                <w:highlight w:val="none"/>
              </w:rPr>
            </w:pPr>
            <w:r>
              <w:rPr>
                <w:rFonts w:hint="eastAsia" w:ascii="宋体" w:hAnsi="宋体"/>
                <w:szCs w:val="21"/>
                <w:highlight w:val="none"/>
              </w:rPr>
              <w:t>坚品</w:t>
            </w:r>
          </w:p>
          <w:p w14:paraId="5834C7EB">
            <w:pPr>
              <w:jc w:val="center"/>
              <w:rPr>
                <w:rFonts w:ascii="宋体" w:hAnsi="宋体"/>
                <w:szCs w:val="21"/>
                <w:highlight w:val="none"/>
              </w:rPr>
            </w:pPr>
            <w:r>
              <w:rPr>
                <w:rFonts w:hint="eastAsia" w:ascii="宋体" w:hAnsi="宋体"/>
                <w:szCs w:val="21"/>
                <w:highlight w:val="none"/>
              </w:rPr>
              <w:t>珠江</w:t>
            </w:r>
          </w:p>
        </w:tc>
        <w:tc>
          <w:tcPr>
            <w:tcW w:w="1050" w:type="dxa"/>
            <w:vAlign w:val="center"/>
          </w:tcPr>
          <w:p w14:paraId="39206C04">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088821D9">
            <w:pPr>
              <w:jc w:val="center"/>
              <w:rPr>
                <w:rFonts w:ascii="宋体" w:hAnsi="宋体"/>
                <w:szCs w:val="21"/>
                <w:highlight w:val="none"/>
              </w:rPr>
            </w:pPr>
            <w:r>
              <w:rPr>
                <w:rFonts w:hint="eastAsia" w:ascii="宋体" w:hAnsi="宋体"/>
                <w:szCs w:val="21"/>
                <w:highlight w:val="none"/>
              </w:rPr>
              <w:t>广州</w:t>
            </w:r>
          </w:p>
          <w:p w14:paraId="26CB91A6">
            <w:pPr>
              <w:jc w:val="center"/>
              <w:rPr>
                <w:rFonts w:ascii="宋体" w:hAnsi="宋体"/>
                <w:szCs w:val="21"/>
                <w:highlight w:val="none"/>
              </w:rPr>
            </w:pPr>
            <w:r>
              <w:rPr>
                <w:rFonts w:hint="eastAsia" w:ascii="宋体" w:hAnsi="宋体"/>
                <w:szCs w:val="21"/>
                <w:highlight w:val="none"/>
              </w:rPr>
              <w:t>佛山</w:t>
            </w:r>
          </w:p>
          <w:p w14:paraId="7B162B62">
            <w:pPr>
              <w:jc w:val="center"/>
              <w:rPr>
                <w:rFonts w:ascii="宋体" w:hAnsi="宋体"/>
                <w:szCs w:val="21"/>
                <w:highlight w:val="none"/>
              </w:rPr>
            </w:pPr>
            <w:r>
              <w:rPr>
                <w:rFonts w:hint="eastAsia" w:ascii="宋体" w:hAnsi="宋体"/>
                <w:szCs w:val="21"/>
                <w:highlight w:val="none"/>
              </w:rPr>
              <w:t>广州</w:t>
            </w:r>
          </w:p>
        </w:tc>
      </w:tr>
      <w:tr w14:paraId="2EFF3E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582ECD1A">
            <w:pPr>
              <w:jc w:val="center"/>
              <w:rPr>
                <w:rFonts w:ascii="宋体" w:hAnsi="宋体"/>
                <w:szCs w:val="21"/>
                <w:highlight w:val="none"/>
              </w:rPr>
            </w:pPr>
          </w:p>
        </w:tc>
        <w:tc>
          <w:tcPr>
            <w:tcW w:w="495" w:type="dxa"/>
            <w:vMerge w:val="continue"/>
            <w:tcBorders>
              <w:right w:val="nil"/>
            </w:tcBorders>
            <w:vAlign w:val="center"/>
          </w:tcPr>
          <w:p w14:paraId="4B7D73F7">
            <w:pPr>
              <w:jc w:val="center"/>
              <w:rPr>
                <w:rFonts w:ascii="宋体" w:hAnsi="宋体"/>
                <w:szCs w:val="21"/>
                <w:highlight w:val="none"/>
              </w:rPr>
            </w:pPr>
          </w:p>
        </w:tc>
        <w:tc>
          <w:tcPr>
            <w:tcW w:w="236" w:type="dxa"/>
            <w:vMerge w:val="continue"/>
            <w:tcBorders>
              <w:left w:val="nil"/>
            </w:tcBorders>
            <w:vAlign w:val="center"/>
          </w:tcPr>
          <w:p w14:paraId="167FF16C">
            <w:pPr>
              <w:jc w:val="center"/>
              <w:rPr>
                <w:rFonts w:ascii="宋体" w:hAnsi="宋体"/>
                <w:szCs w:val="21"/>
                <w:highlight w:val="none"/>
              </w:rPr>
            </w:pPr>
          </w:p>
        </w:tc>
        <w:tc>
          <w:tcPr>
            <w:tcW w:w="3398" w:type="dxa"/>
            <w:vAlign w:val="center"/>
          </w:tcPr>
          <w:p w14:paraId="497146D1">
            <w:pPr>
              <w:jc w:val="center"/>
              <w:rPr>
                <w:rFonts w:ascii="宋体" w:hAnsi="宋体"/>
                <w:szCs w:val="21"/>
                <w:highlight w:val="none"/>
              </w:rPr>
            </w:pPr>
            <w:r>
              <w:rPr>
                <w:rFonts w:hint="eastAsia" w:ascii="宋体" w:hAnsi="宋体"/>
                <w:szCs w:val="21"/>
                <w:highlight w:val="none"/>
              </w:rPr>
              <w:t>空调</w:t>
            </w:r>
          </w:p>
        </w:tc>
        <w:tc>
          <w:tcPr>
            <w:tcW w:w="1800" w:type="dxa"/>
            <w:vAlign w:val="center"/>
          </w:tcPr>
          <w:p w14:paraId="6871B5F4">
            <w:pPr>
              <w:jc w:val="center"/>
              <w:rPr>
                <w:rFonts w:ascii="宋体" w:hAnsi="宋体"/>
                <w:szCs w:val="21"/>
                <w:highlight w:val="none"/>
              </w:rPr>
            </w:pPr>
            <w:r>
              <w:rPr>
                <w:rFonts w:hint="eastAsia" w:ascii="宋体" w:hAnsi="宋体"/>
                <w:szCs w:val="21"/>
                <w:highlight w:val="none"/>
              </w:rPr>
              <w:t>按图</w:t>
            </w:r>
          </w:p>
        </w:tc>
        <w:tc>
          <w:tcPr>
            <w:tcW w:w="1328" w:type="dxa"/>
            <w:vAlign w:val="center"/>
          </w:tcPr>
          <w:p w14:paraId="2CE9DEF2">
            <w:pPr>
              <w:jc w:val="center"/>
              <w:rPr>
                <w:rFonts w:ascii="宋体" w:hAnsi="宋体"/>
                <w:szCs w:val="21"/>
                <w:highlight w:val="none"/>
              </w:rPr>
            </w:pPr>
            <w:r>
              <w:rPr>
                <w:rFonts w:hint="eastAsia" w:ascii="宋体" w:hAnsi="宋体"/>
                <w:szCs w:val="21"/>
                <w:highlight w:val="none"/>
              </w:rPr>
              <w:t>格力</w:t>
            </w:r>
          </w:p>
          <w:p w14:paraId="213532F6">
            <w:pPr>
              <w:jc w:val="center"/>
              <w:rPr>
                <w:rFonts w:ascii="宋体" w:hAnsi="宋体"/>
                <w:szCs w:val="21"/>
                <w:highlight w:val="none"/>
              </w:rPr>
            </w:pPr>
            <w:r>
              <w:rPr>
                <w:rFonts w:hint="eastAsia" w:ascii="宋体" w:hAnsi="宋体"/>
                <w:szCs w:val="21"/>
                <w:highlight w:val="none"/>
              </w:rPr>
              <w:t>松下</w:t>
            </w:r>
          </w:p>
          <w:p w14:paraId="02E70AFE">
            <w:pPr>
              <w:jc w:val="center"/>
              <w:rPr>
                <w:rFonts w:ascii="宋体" w:hAnsi="宋体"/>
                <w:szCs w:val="21"/>
                <w:highlight w:val="none"/>
              </w:rPr>
            </w:pPr>
            <w:r>
              <w:rPr>
                <w:rFonts w:hint="eastAsia" w:ascii="宋体" w:hAnsi="宋体"/>
                <w:szCs w:val="21"/>
                <w:highlight w:val="none"/>
              </w:rPr>
              <w:t>三菱</w:t>
            </w:r>
          </w:p>
        </w:tc>
        <w:tc>
          <w:tcPr>
            <w:tcW w:w="1050" w:type="dxa"/>
            <w:vAlign w:val="center"/>
          </w:tcPr>
          <w:p w14:paraId="52D6F23B">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4B543DD2">
            <w:pPr>
              <w:jc w:val="center"/>
              <w:rPr>
                <w:rFonts w:ascii="宋体" w:hAnsi="宋体"/>
                <w:szCs w:val="21"/>
                <w:highlight w:val="none"/>
              </w:rPr>
            </w:pPr>
            <w:r>
              <w:rPr>
                <w:rFonts w:hint="eastAsia" w:ascii="宋体" w:hAnsi="宋体"/>
                <w:szCs w:val="21"/>
                <w:highlight w:val="none"/>
              </w:rPr>
              <w:t>珠海</w:t>
            </w:r>
          </w:p>
          <w:p w14:paraId="2572B00A">
            <w:pPr>
              <w:jc w:val="center"/>
              <w:rPr>
                <w:rFonts w:ascii="宋体" w:hAnsi="宋体"/>
                <w:szCs w:val="21"/>
                <w:highlight w:val="none"/>
              </w:rPr>
            </w:pPr>
            <w:r>
              <w:rPr>
                <w:rFonts w:hint="eastAsia" w:ascii="宋体" w:hAnsi="宋体"/>
                <w:szCs w:val="21"/>
                <w:highlight w:val="none"/>
              </w:rPr>
              <w:t>合资</w:t>
            </w:r>
          </w:p>
          <w:p w14:paraId="33978ACB">
            <w:pPr>
              <w:jc w:val="center"/>
              <w:rPr>
                <w:rFonts w:ascii="宋体" w:hAnsi="宋体"/>
                <w:szCs w:val="21"/>
                <w:highlight w:val="none"/>
              </w:rPr>
            </w:pPr>
            <w:r>
              <w:rPr>
                <w:rFonts w:hint="eastAsia" w:ascii="宋体" w:hAnsi="宋体"/>
                <w:szCs w:val="21"/>
                <w:highlight w:val="none"/>
              </w:rPr>
              <w:t>合资</w:t>
            </w:r>
          </w:p>
        </w:tc>
      </w:tr>
      <w:tr w14:paraId="1F64EE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3D224C3B">
            <w:pPr>
              <w:jc w:val="center"/>
              <w:rPr>
                <w:rFonts w:ascii="宋体" w:hAnsi="宋体"/>
                <w:szCs w:val="21"/>
                <w:highlight w:val="none"/>
              </w:rPr>
            </w:pPr>
          </w:p>
        </w:tc>
        <w:tc>
          <w:tcPr>
            <w:tcW w:w="495" w:type="dxa"/>
            <w:vMerge w:val="continue"/>
            <w:tcBorders>
              <w:right w:val="nil"/>
            </w:tcBorders>
            <w:vAlign w:val="center"/>
          </w:tcPr>
          <w:p w14:paraId="1DE32F7C">
            <w:pPr>
              <w:jc w:val="center"/>
              <w:rPr>
                <w:rFonts w:ascii="宋体" w:hAnsi="宋体"/>
                <w:szCs w:val="21"/>
                <w:highlight w:val="none"/>
              </w:rPr>
            </w:pPr>
          </w:p>
        </w:tc>
        <w:tc>
          <w:tcPr>
            <w:tcW w:w="236" w:type="dxa"/>
            <w:vMerge w:val="continue"/>
            <w:tcBorders>
              <w:top w:val="nil"/>
              <w:left w:val="nil"/>
            </w:tcBorders>
            <w:vAlign w:val="center"/>
          </w:tcPr>
          <w:p w14:paraId="252F0E2E">
            <w:pPr>
              <w:jc w:val="center"/>
              <w:rPr>
                <w:rFonts w:ascii="宋体" w:hAnsi="宋体"/>
                <w:szCs w:val="21"/>
                <w:highlight w:val="none"/>
              </w:rPr>
            </w:pPr>
          </w:p>
        </w:tc>
        <w:tc>
          <w:tcPr>
            <w:tcW w:w="3398" w:type="dxa"/>
            <w:vAlign w:val="center"/>
          </w:tcPr>
          <w:p w14:paraId="3CA78804">
            <w:pPr>
              <w:jc w:val="center"/>
              <w:rPr>
                <w:rFonts w:ascii="宋体" w:hAnsi="宋体"/>
                <w:szCs w:val="21"/>
                <w:highlight w:val="none"/>
              </w:rPr>
            </w:pPr>
            <w:r>
              <w:rPr>
                <w:rFonts w:hint="eastAsia" w:ascii="宋体" w:hAnsi="宋体"/>
                <w:szCs w:val="21"/>
                <w:highlight w:val="none"/>
              </w:rPr>
              <w:t>应急灯</w:t>
            </w:r>
          </w:p>
          <w:p w14:paraId="7D100680">
            <w:pPr>
              <w:jc w:val="center"/>
              <w:rPr>
                <w:rFonts w:ascii="宋体" w:hAnsi="宋体"/>
                <w:szCs w:val="21"/>
                <w:highlight w:val="none"/>
              </w:rPr>
            </w:pPr>
            <w:r>
              <w:rPr>
                <w:rFonts w:hint="eastAsia" w:ascii="宋体" w:hAnsi="宋体"/>
                <w:szCs w:val="21"/>
                <w:highlight w:val="none"/>
              </w:rPr>
              <w:t>疏散灯</w:t>
            </w:r>
          </w:p>
        </w:tc>
        <w:tc>
          <w:tcPr>
            <w:tcW w:w="1800" w:type="dxa"/>
            <w:vAlign w:val="center"/>
          </w:tcPr>
          <w:p w14:paraId="2E7FCC3D">
            <w:pPr>
              <w:jc w:val="center"/>
              <w:rPr>
                <w:rFonts w:ascii="宋体" w:hAnsi="宋体"/>
                <w:szCs w:val="21"/>
                <w:highlight w:val="none"/>
              </w:rPr>
            </w:pPr>
            <w:r>
              <w:rPr>
                <w:rFonts w:hint="eastAsia" w:ascii="宋体" w:hAnsi="宋体"/>
                <w:szCs w:val="21"/>
                <w:highlight w:val="none"/>
              </w:rPr>
              <w:t>按图</w:t>
            </w:r>
          </w:p>
        </w:tc>
        <w:tc>
          <w:tcPr>
            <w:tcW w:w="1328" w:type="dxa"/>
          </w:tcPr>
          <w:p w14:paraId="539D6204">
            <w:pPr>
              <w:jc w:val="center"/>
              <w:rPr>
                <w:rFonts w:ascii="宋体" w:hAnsi="宋体"/>
                <w:szCs w:val="21"/>
                <w:highlight w:val="none"/>
              </w:rPr>
            </w:pPr>
            <w:r>
              <w:rPr>
                <w:rFonts w:hint="eastAsia" w:ascii="宋体" w:hAnsi="宋体"/>
                <w:szCs w:val="21"/>
                <w:highlight w:val="none"/>
              </w:rPr>
              <w:t>三雄极光</w:t>
            </w:r>
          </w:p>
          <w:p w14:paraId="1EC7A6BA">
            <w:pPr>
              <w:jc w:val="center"/>
              <w:rPr>
                <w:rFonts w:ascii="宋体" w:hAnsi="宋体"/>
                <w:szCs w:val="21"/>
                <w:highlight w:val="none"/>
              </w:rPr>
            </w:pPr>
            <w:r>
              <w:rPr>
                <w:rFonts w:hint="eastAsia" w:ascii="宋体" w:hAnsi="宋体"/>
                <w:szCs w:val="21"/>
                <w:highlight w:val="none"/>
              </w:rPr>
              <w:t>TCL</w:t>
            </w:r>
          </w:p>
          <w:p w14:paraId="021F9125">
            <w:pPr>
              <w:jc w:val="center"/>
              <w:rPr>
                <w:rFonts w:ascii="宋体" w:hAnsi="宋体"/>
                <w:szCs w:val="21"/>
                <w:highlight w:val="none"/>
              </w:rPr>
            </w:pPr>
            <w:r>
              <w:rPr>
                <w:rFonts w:hint="eastAsia" w:ascii="宋体" w:hAnsi="宋体"/>
                <w:szCs w:val="21"/>
                <w:highlight w:val="none"/>
              </w:rPr>
              <w:t>欧普</w:t>
            </w:r>
          </w:p>
        </w:tc>
        <w:tc>
          <w:tcPr>
            <w:tcW w:w="1050" w:type="dxa"/>
          </w:tcPr>
          <w:p w14:paraId="737AA1EA">
            <w:pPr>
              <w:jc w:val="center"/>
              <w:rPr>
                <w:rFonts w:ascii="宋体" w:hAnsi="宋体"/>
                <w:szCs w:val="21"/>
                <w:highlight w:val="none"/>
              </w:rPr>
            </w:pPr>
          </w:p>
          <w:p w14:paraId="3D8D7974">
            <w:pPr>
              <w:jc w:val="center"/>
              <w:rPr>
                <w:rFonts w:ascii="宋体" w:hAnsi="宋体"/>
                <w:szCs w:val="21"/>
                <w:highlight w:val="none"/>
              </w:rPr>
            </w:pPr>
            <w:r>
              <w:rPr>
                <w:rFonts w:hint="eastAsia" w:ascii="宋体" w:hAnsi="宋体"/>
                <w:szCs w:val="21"/>
                <w:highlight w:val="none"/>
              </w:rPr>
              <w:t>优</w:t>
            </w:r>
          </w:p>
        </w:tc>
        <w:tc>
          <w:tcPr>
            <w:tcW w:w="984" w:type="dxa"/>
            <w:vAlign w:val="center"/>
          </w:tcPr>
          <w:p w14:paraId="59D1B34B">
            <w:pPr>
              <w:jc w:val="center"/>
              <w:rPr>
                <w:rFonts w:ascii="宋体" w:hAnsi="宋体"/>
                <w:szCs w:val="21"/>
                <w:highlight w:val="none"/>
              </w:rPr>
            </w:pPr>
            <w:r>
              <w:rPr>
                <w:rFonts w:hint="eastAsia" w:ascii="宋体" w:hAnsi="宋体"/>
                <w:szCs w:val="21"/>
                <w:highlight w:val="none"/>
              </w:rPr>
              <w:t>江门</w:t>
            </w:r>
          </w:p>
          <w:p w14:paraId="64810664">
            <w:pPr>
              <w:jc w:val="center"/>
              <w:rPr>
                <w:rFonts w:ascii="宋体" w:hAnsi="宋体"/>
                <w:szCs w:val="21"/>
                <w:highlight w:val="none"/>
              </w:rPr>
            </w:pPr>
            <w:r>
              <w:rPr>
                <w:rFonts w:hint="eastAsia" w:ascii="宋体" w:hAnsi="宋体"/>
                <w:szCs w:val="21"/>
                <w:highlight w:val="none"/>
              </w:rPr>
              <w:t>惠州</w:t>
            </w:r>
          </w:p>
          <w:p w14:paraId="4E926E63">
            <w:pPr>
              <w:jc w:val="center"/>
              <w:rPr>
                <w:rFonts w:ascii="宋体" w:hAnsi="宋体"/>
                <w:szCs w:val="21"/>
                <w:highlight w:val="none"/>
              </w:rPr>
            </w:pPr>
            <w:r>
              <w:rPr>
                <w:rFonts w:hint="eastAsia" w:ascii="宋体" w:hAnsi="宋体"/>
                <w:szCs w:val="21"/>
                <w:highlight w:val="none"/>
              </w:rPr>
              <w:t>中山</w:t>
            </w:r>
          </w:p>
        </w:tc>
      </w:tr>
      <w:tr w14:paraId="6E390E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05593F27">
            <w:pPr>
              <w:jc w:val="center"/>
              <w:rPr>
                <w:rFonts w:ascii="宋体" w:hAnsi="宋体"/>
                <w:szCs w:val="21"/>
                <w:highlight w:val="none"/>
              </w:rPr>
            </w:pPr>
          </w:p>
        </w:tc>
        <w:tc>
          <w:tcPr>
            <w:tcW w:w="495" w:type="dxa"/>
            <w:vMerge w:val="continue"/>
            <w:tcBorders>
              <w:right w:val="nil"/>
            </w:tcBorders>
            <w:vAlign w:val="center"/>
          </w:tcPr>
          <w:p w14:paraId="5953335D">
            <w:pPr>
              <w:jc w:val="center"/>
              <w:rPr>
                <w:rFonts w:ascii="宋体" w:hAnsi="宋体"/>
                <w:szCs w:val="21"/>
                <w:highlight w:val="none"/>
              </w:rPr>
            </w:pPr>
          </w:p>
        </w:tc>
        <w:tc>
          <w:tcPr>
            <w:tcW w:w="236" w:type="dxa"/>
            <w:vMerge w:val="continue"/>
            <w:tcBorders>
              <w:top w:val="nil"/>
              <w:left w:val="nil"/>
            </w:tcBorders>
            <w:vAlign w:val="center"/>
          </w:tcPr>
          <w:p w14:paraId="6EE3ED11">
            <w:pPr>
              <w:jc w:val="center"/>
              <w:rPr>
                <w:rFonts w:ascii="宋体" w:hAnsi="宋体"/>
                <w:szCs w:val="21"/>
                <w:highlight w:val="none"/>
              </w:rPr>
            </w:pPr>
          </w:p>
        </w:tc>
        <w:tc>
          <w:tcPr>
            <w:tcW w:w="3398" w:type="dxa"/>
            <w:vAlign w:val="center"/>
          </w:tcPr>
          <w:p w14:paraId="4B0C17B3">
            <w:pPr>
              <w:jc w:val="center"/>
              <w:rPr>
                <w:rFonts w:ascii="宋体" w:hAnsi="宋体"/>
                <w:szCs w:val="21"/>
                <w:highlight w:val="none"/>
              </w:rPr>
            </w:pPr>
            <w:r>
              <w:rPr>
                <w:rFonts w:hint="eastAsia" w:ascii="宋体" w:hAnsi="宋体"/>
                <w:szCs w:val="21"/>
                <w:highlight w:val="none"/>
              </w:rPr>
              <w:t>电气火灾预警</w:t>
            </w:r>
          </w:p>
        </w:tc>
        <w:tc>
          <w:tcPr>
            <w:tcW w:w="1800" w:type="dxa"/>
            <w:vAlign w:val="center"/>
          </w:tcPr>
          <w:p w14:paraId="7202E277">
            <w:pPr>
              <w:jc w:val="center"/>
              <w:rPr>
                <w:rFonts w:ascii="宋体" w:hAnsi="宋体"/>
                <w:szCs w:val="21"/>
                <w:highlight w:val="none"/>
              </w:rPr>
            </w:pPr>
            <w:r>
              <w:rPr>
                <w:rFonts w:hint="eastAsia" w:ascii="宋体" w:hAnsi="宋体"/>
                <w:szCs w:val="21"/>
                <w:highlight w:val="none"/>
              </w:rPr>
              <w:t>按图</w:t>
            </w:r>
          </w:p>
        </w:tc>
        <w:tc>
          <w:tcPr>
            <w:tcW w:w="1328" w:type="dxa"/>
          </w:tcPr>
          <w:p w14:paraId="039E40CB">
            <w:pPr>
              <w:jc w:val="center"/>
              <w:rPr>
                <w:rFonts w:ascii="宋体" w:hAnsi="宋体"/>
                <w:szCs w:val="21"/>
                <w:highlight w:val="none"/>
              </w:rPr>
            </w:pPr>
            <w:r>
              <w:rPr>
                <w:rFonts w:hint="eastAsia" w:ascii="宋体" w:hAnsi="宋体"/>
                <w:szCs w:val="21"/>
                <w:highlight w:val="none"/>
              </w:rPr>
              <w:t>中电电力</w:t>
            </w:r>
          </w:p>
          <w:p w14:paraId="0C1FE0F9">
            <w:pPr>
              <w:jc w:val="center"/>
              <w:rPr>
                <w:rFonts w:ascii="宋体" w:hAnsi="宋体"/>
                <w:szCs w:val="21"/>
                <w:highlight w:val="none"/>
              </w:rPr>
            </w:pPr>
            <w:r>
              <w:rPr>
                <w:rFonts w:hint="eastAsia" w:ascii="宋体" w:hAnsi="宋体"/>
                <w:szCs w:val="21"/>
                <w:highlight w:val="none"/>
              </w:rPr>
              <w:t>优特</w:t>
            </w:r>
          </w:p>
          <w:p w14:paraId="3D877443">
            <w:pPr>
              <w:jc w:val="center"/>
              <w:rPr>
                <w:rFonts w:ascii="宋体" w:hAnsi="宋体"/>
                <w:szCs w:val="21"/>
                <w:highlight w:val="none"/>
              </w:rPr>
            </w:pPr>
            <w:r>
              <w:rPr>
                <w:rFonts w:hint="eastAsia" w:ascii="宋体" w:hAnsi="宋体"/>
                <w:szCs w:val="21"/>
                <w:highlight w:val="none"/>
              </w:rPr>
              <w:t>赛飞奇</w:t>
            </w:r>
          </w:p>
        </w:tc>
        <w:tc>
          <w:tcPr>
            <w:tcW w:w="1050" w:type="dxa"/>
            <w:vAlign w:val="center"/>
          </w:tcPr>
          <w:p w14:paraId="02A67148">
            <w:pPr>
              <w:jc w:val="center"/>
              <w:rPr>
                <w:rFonts w:ascii="宋体" w:hAnsi="宋体"/>
                <w:szCs w:val="21"/>
                <w:highlight w:val="none"/>
              </w:rPr>
            </w:pPr>
            <w:r>
              <w:rPr>
                <w:rFonts w:hint="eastAsia" w:ascii="宋体" w:hAnsi="宋体"/>
                <w:szCs w:val="21"/>
                <w:highlight w:val="none"/>
              </w:rPr>
              <w:t>优</w:t>
            </w:r>
          </w:p>
        </w:tc>
        <w:tc>
          <w:tcPr>
            <w:tcW w:w="984" w:type="dxa"/>
            <w:vAlign w:val="center"/>
          </w:tcPr>
          <w:p w14:paraId="7E59AEDA">
            <w:pPr>
              <w:jc w:val="center"/>
              <w:rPr>
                <w:rFonts w:ascii="宋体" w:hAnsi="宋体"/>
                <w:szCs w:val="21"/>
                <w:highlight w:val="none"/>
              </w:rPr>
            </w:pPr>
            <w:r>
              <w:rPr>
                <w:rFonts w:hint="eastAsia" w:ascii="宋体" w:hAnsi="宋体"/>
                <w:szCs w:val="21"/>
                <w:highlight w:val="none"/>
              </w:rPr>
              <w:t>深圳</w:t>
            </w:r>
          </w:p>
          <w:p w14:paraId="49250C06">
            <w:pPr>
              <w:jc w:val="center"/>
              <w:rPr>
                <w:rFonts w:ascii="宋体" w:hAnsi="宋体"/>
                <w:szCs w:val="21"/>
                <w:highlight w:val="none"/>
              </w:rPr>
            </w:pPr>
            <w:r>
              <w:rPr>
                <w:rFonts w:hint="eastAsia" w:ascii="宋体" w:hAnsi="宋体"/>
                <w:szCs w:val="21"/>
                <w:highlight w:val="none"/>
              </w:rPr>
              <w:t>珠海</w:t>
            </w:r>
          </w:p>
          <w:p w14:paraId="5E691259">
            <w:pPr>
              <w:jc w:val="center"/>
              <w:rPr>
                <w:rFonts w:ascii="宋体" w:hAnsi="宋体"/>
                <w:szCs w:val="21"/>
                <w:highlight w:val="none"/>
              </w:rPr>
            </w:pPr>
            <w:r>
              <w:rPr>
                <w:rFonts w:hint="eastAsia" w:ascii="宋体" w:hAnsi="宋体"/>
                <w:szCs w:val="21"/>
                <w:highlight w:val="none"/>
              </w:rPr>
              <w:t>深圳</w:t>
            </w:r>
          </w:p>
        </w:tc>
      </w:tr>
      <w:tr w14:paraId="271AE5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54AC66B1">
            <w:pPr>
              <w:jc w:val="center"/>
              <w:rPr>
                <w:rFonts w:ascii="宋体" w:hAnsi="宋体"/>
                <w:szCs w:val="21"/>
                <w:highlight w:val="none"/>
              </w:rPr>
            </w:pPr>
          </w:p>
        </w:tc>
        <w:tc>
          <w:tcPr>
            <w:tcW w:w="495" w:type="dxa"/>
            <w:vMerge w:val="continue"/>
            <w:tcBorders>
              <w:right w:val="nil"/>
            </w:tcBorders>
            <w:vAlign w:val="center"/>
          </w:tcPr>
          <w:p w14:paraId="57110F11">
            <w:pPr>
              <w:jc w:val="center"/>
              <w:rPr>
                <w:rFonts w:ascii="宋体" w:hAnsi="宋体"/>
                <w:szCs w:val="21"/>
                <w:highlight w:val="none"/>
              </w:rPr>
            </w:pPr>
          </w:p>
        </w:tc>
        <w:tc>
          <w:tcPr>
            <w:tcW w:w="236" w:type="dxa"/>
            <w:vMerge w:val="continue"/>
            <w:tcBorders>
              <w:top w:val="nil"/>
              <w:left w:val="nil"/>
            </w:tcBorders>
            <w:vAlign w:val="center"/>
          </w:tcPr>
          <w:p w14:paraId="0D3D703B">
            <w:pPr>
              <w:jc w:val="center"/>
              <w:rPr>
                <w:rFonts w:ascii="宋体" w:hAnsi="宋体"/>
                <w:szCs w:val="21"/>
                <w:highlight w:val="none"/>
              </w:rPr>
            </w:pPr>
          </w:p>
        </w:tc>
        <w:tc>
          <w:tcPr>
            <w:tcW w:w="3398" w:type="dxa"/>
            <w:vAlign w:val="center"/>
          </w:tcPr>
          <w:p w14:paraId="73716A8A">
            <w:pPr>
              <w:jc w:val="center"/>
              <w:rPr>
                <w:rFonts w:ascii="宋体" w:hAnsi="宋体"/>
                <w:szCs w:val="21"/>
                <w:highlight w:val="none"/>
              </w:rPr>
            </w:pPr>
            <w:r>
              <w:rPr>
                <w:rFonts w:hint="eastAsia" w:ascii="宋体" w:hAnsi="宋体"/>
                <w:szCs w:val="21"/>
                <w:highlight w:val="none"/>
              </w:rPr>
              <w:t>网线、网络模块、机柜</w:t>
            </w:r>
          </w:p>
        </w:tc>
        <w:tc>
          <w:tcPr>
            <w:tcW w:w="1800" w:type="dxa"/>
            <w:vAlign w:val="center"/>
          </w:tcPr>
          <w:p w14:paraId="4FDBB561">
            <w:pPr>
              <w:jc w:val="center"/>
              <w:rPr>
                <w:rFonts w:ascii="宋体" w:hAnsi="宋体"/>
                <w:szCs w:val="21"/>
                <w:highlight w:val="none"/>
              </w:rPr>
            </w:pPr>
            <w:r>
              <w:rPr>
                <w:rFonts w:hint="eastAsia" w:ascii="宋体" w:hAnsi="宋体"/>
                <w:szCs w:val="21"/>
                <w:highlight w:val="none"/>
              </w:rPr>
              <w:t>按图</w:t>
            </w:r>
          </w:p>
        </w:tc>
        <w:tc>
          <w:tcPr>
            <w:tcW w:w="1328" w:type="dxa"/>
          </w:tcPr>
          <w:p w14:paraId="33C45D95">
            <w:pPr>
              <w:jc w:val="center"/>
              <w:rPr>
                <w:rFonts w:ascii="宋体" w:hAnsi="宋体"/>
                <w:szCs w:val="21"/>
                <w:highlight w:val="none"/>
              </w:rPr>
            </w:pPr>
            <w:r>
              <w:rPr>
                <w:rFonts w:hint="eastAsia" w:ascii="宋体" w:hAnsi="宋体"/>
                <w:szCs w:val="21"/>
                <w:highlight w:val="none"/>
              </w:rPr>
              <w:t>安普</w:t>
            </w:r>
          </w:p>
          <w:p w14:paraId="6BEDD5EF">
            <w:pPr>
              <w:jc w:val="center"/>
              <w:rPr>
                <w:rFonts w:ascii="宋体" w:hAnsi="宋体"/>
                <w:szCs w:val="21"/>
                <w:highlight w:val="none"/>
              </w:rPr>
            </w:pPr>
            <w:r>
              <w:rPr>
                <w:rFonts w:hint="eastAsia" w:ascii="宋体" w:hAnsi="宋体"/>
                <w:szCs w:val="21"/>
                <w:highlight w:val="none"/>
              </w:rPr>
              <w:t>康普</w:t>
            </w:r>
          </w:p>
          <w:p w14:paraId="24906D92">
            <w:pPr>
              <w:jc w:val="center"/>
              <w:rPr>
                <w:rFonts w:ascii="宋体" w:hAnsi="宋体"/>
                <w:szCs w:val="21"/>
                <w:highlight w:val="none"/>
              </w:rPr>
            </w:pPr>
            <w:r>
              <w:rPr>
                <w:rFonts w:hint="eastAsia" w:ascii="宋体" w:hAnsi="宋体"/>
                <w:szCs w:val="21"/>
                <w:highlight w:val="none"/>
              </w:rPr>
              <w:t>APP</w:t>
            </w:r>
          </w:p>
        </w:tc>
        <w:tc>
          <w:tcPr>
            <w:tcW w:w="1050" w:type="dxa"/>
          </w:tcPr>
          <w:p w14:paraId="62FC8ECC">
            <w:pPr>
              <w:jc w:val="center"/>
              <w:rPr>
                <w:rFonts w:ascii="宋体" w:hAnsi="宋体"/>
                <w:szCs w:val="21"/>
                <w:highlight w:val="none"/>
              </w:rPr>
            </w:pPr>
            <w:r>
              <w:rPr>
                <w:rFonts w:hint="eastAsia" w:ascii="宋体" w:hAnsi="宋体"/>
                <w:szCs w:val="21"/>
                <w:highlight w:val="none"/>
              </w:rPr>
              <w:t>优等，网线超六类</w:t>
            </w:r>
          </w:p>
        </w:tc>
        <w:tc>
          <w:tcPr>
            <w:tcW w:w="984" w:type="dxa"/>
            <w:vAlign w:val="center"/>
          </w:tcPr>
          <w:p w14:paraId="217D98A4">
            <w:pPr>
              <w:jc w:val="center"/>
              <w:rPr>
                <w:rFonts w:ascii="宋体" w:hAnsi="宋体"/>
                <w:szCs w:val="21"/>
                <w:highlight w:val="none"/>
              </w:rPr>
            </w:pPr>
            <w:r>
              <w:rPr>
                <w:rFonts w:hint="eastAsia" w:ascii="宋体" w:hAnsi="宋体"/>
                <w:szCs w:val="21"/>
                <w:highlight w:val="none"/>
              </w:rPr>
              <w:t>合资</w:t>
            </w:r>
          </w:p>
        </w:tc>
      </w:tr>
      <w:tr w14:paraId="62E73B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0" w:hRule="atLeast"/>
          <w:jc w:val="center"/>
        </w:trPr>
        <w:tc>
          <w:tcPr>
            <w:tcW w:w="477" w:type="dxa"/>
            <w:vMerge w:val="continue"/>
            <w:vAlign w:val="center"/>
          </w:tcPr>
          <w:p w14:paraId="2A3CC36B">
            <w:pPr>
              <w:jc w:val="center"/>
              <w:rPr>
                <w:rFonts w:ascii="宋体" w:hAnsi="宋体"/>
                <w:szCs w:val="21"/>
                <w:highlight w:val="none"/>
              </w:rPr>
            </w:pPr>
          </w:p>
        </w:tc>
        <w:tc>
          <w:tcPr>
            <w:tcW w:w="495" w:type="dxa"/>
            <w:vMerge w:val="continue"/>
            <w:tcBorders>
              <w:right w:val="nil"/>
            </w:tcBorders>
            <w:vAlign w:val="center"/>
          </w:tcPr>
          <w:p w14:paraId="2068BCE1">
            <w:pPr>
              <w:jc w:val="center"/>
              <w:rPr>
                <w:rFonts w:ascii="宋体" w:hAnsi="宋体"/>
                <w:szCs w:val="21"/>
                <w:highlight w:val="none"/>
              </w:rPr>
            </w:pPr>
          </w:p>
        </w:tc>
        <w:tc>
          <w:tcPr>
            <w:tcW w:w="236" w:type="dxa"/>
            <w:vMerge w:val="continue"/>
            <w:tcBorders>
              <w:top w:val="nil"/>
              <w:left w:val="nil"/>
            </w:tcBorders>
            <w:vAlign w:val="center"/>
          </w:tcPr>
          <w:p w14:paraId="31B9DBC2">
            <w:pPr>
              <w:jc w:val="center"/>
              <w:rPr>
                <w:rFonts w:ascii="宋体" w:hAnsi="宋体"/>
                <w:szCs w:val="21"/>
                <w:highlight w:val="none"/>
              </w:rPr>
            </w:pPr>
          </w:p>
        </w:tc>
        <w:tc>
          <w:tcPr>
            <w:tcW w:w="3398" w:type="dxa"/>
            <w:vAlign w:val="center"/>
          </w:tcPr>
          <w:p w14:paraId="6E1DED40">
            <w:pPr>
              <w:jc w:val="center"/>
              <w:rPr>
                <w:rFonts w:ascii="宋体" w:hAnsi="宋体"/>
                <w:szCs w:val="21"/>
                <w:highlight w:val="none"/>
              </w:rPr>
            </w:pPr>
            <w:r>
              <w:rPr>
                <w:rFonts w:hint="eastAsia" w:ascii="宋体" w:hAnsi="宋体"/>
                <w:szCs w:val="21"/>
                <w:highlight w:val="none"/>
              </w:rPr>
              <w:t>电梯</w:t>
            </w:r>
          </w:p>
        </w:tc>
        <w:tc>
          <w:tcPr>
            <w:tcW w:w="1800" w:type="dxa"/>
            <w:vAlign w:val="center"/>
          </w:tcPr>
          <w:p w14:paraId="61F3A2C3">
            <w:pPr>
              <w:jc w:val="center"/>
              <w:rPr>
                <w:rFonts w:ascii="宋体" w:hAnsi="宋体"/>
                <w:szCs w:val="21"/>
                <w:highlight w:val="none"/>
              </w:rPr>
            </w:pPr>
            <w:r>
              <w:rPr>
                <w:rFonts w:hint="eastAsia" w:ascii="宋体" w:hAnsi="宋体"/>
                <w:szCs w:val="21"/>
                <w:highlight w:val="none"/>
              </w:rPr>
              <w:t>按图</w:t>
            </w:r>
          </w:p>
        </w:tc>
        <w:tc>
          <w:tcPr>
            <w:tcW w:w="1328" w:type="dxa"/>
          </w:tcPr>
          <w:p w14:paraId="3CCDDF70">
            <w:pPr>
              <w:jc w:val="center"/>
              <w:rPr>
                <w:rFonts w:ascii="宋体" w:hAnsi="宋体"/>
                <w:szCs w:val="21"/>
                <w:highlight w:val="none"/>
              </w:rPr>
            </w:pPr>
            <w:r>
              <w:rPr>
                <w:rFonts w:hint="eastAsia" w:ascii="宋体" w:hAnsi="宋体"/>
                <w:szCs w:val="21"/>
                <w:highlight w:val="none"/>
              </w:rPr>
              <w:t>奥的斯</w:t>
            </w:r>
          </w:p>
          <w:p w14:paraId="5D2B1EC5">
            <w:pPr>
              <w:jc w:val="center"/>
              <w:rPr>
                <w:rFonts w:ascii="宋体" w:hAnsi="宋体"/>
                <w:szCs w:val="21"/>
                <w:highlight w:val="none"/>
              </w:rPr>
            </w:pPr>
            <w:r>
              <w:rPr>
                <w:rFonts w:hint="eastAsia" w:ascii="宋体" w:hAnsi="宋体"/>
                <w:szCs w:val="21"/>
                <w:highlight w:val="none"/>
              </w:rPr>
              <w:t>三菱</w:t>
            </w:r>
          </w:p>
          <w:p w14:paraId="454329A2">
            <w:pPr>
              <w:jc w:val="center"/>
              <w:rPr>
                <w:rFonts w:ascii="宋体" w:hAnsi="宋体"/>
                <w:szCs w:val="21"/>
                <w:highlight w:val="none"/>
              </w:rPr>
            </w:pPr>
            <w:r>
              <w:rPr>
                <w:rFonts w:hint="eastAsia" w:ascii="宋体" w:hAnsi="宋体"/>
                <w:szCs w:val="21"/>
                <w:highlight w:val="none"/>
              </w:rPr>
              <w:t>日立</w:t>
            </w:r>
          </w:p>
        </w:tc>
        <w:tc>
          <w:tcPr>
            <w:tcW w:w="1050" w:type="dxa"/>
            <w:vAlign w:val="center"/>
          </w:tcPr>
          <w:p w14:paraId="5D911FE8">
            <w:pPr>
              <w:jc w:val="center"/>
              <w:rPr>
                <w:rFonts w:ascii="宋体" w:hAnsi="宋体"/>
                <w:szCs w:val="21"/>
                <w:highlight w:val="none"/>
              </w:rPr>
            </w:pPr>
            <w:r>
              <w:rPr>
                <w:rFonts w:hint="eastAsia" w:ascii="宋体" w:hAnsi="宋体"/>
                <w:szCs w:val="21"/>
                <w:highlight w:val="none"/>
              </w:rPr>
              <w:t>优等</w:t>
            </w:r>
          </w:p>
        </w:tc>
        <w:tc>
          <w:tcPr>
            <w:tcW w:w="984" w:type="dxa"/>
            <w:vAlign w:val="center"/>
          </w:tcPr>
          <w:p w14:paraId="0BAE5D36">
            <w:pPr>
              <w:jc w:val="center"/>
              <w:rPr>
                <w:rFonts w:ascii="宋体" w:hAnsi="宋体"/>
                <w:szCs w:val="21"/>
                <w:highlight w:val="none"/>
              </w:rPr>
            </w:pPr>
            <w:r>
              <w:rPr>
                <w:rFonts w:hint="eastAsia" w:ascii="宋体" w:hAnsi="宋体"/>
                <w:szCs w:val="21"/>
                <w:highlight w:val="none"/>
              </w:rPr>
              <w:t>合资</w:t>
            </w:r>
          </w:p>
          <w:p w14:paraId="0F59F6DE">
            <w:pPr>
              <w:jc w:val="center"/>
              <w:rPr>
                <w:rFonts w:ascii="宋体" w:hAnsi="宋体"/>
                <w:szCs w:val="21"/>
                <w:highlight w:val="none"/>
              </w:rPr>
            </w:pPr>
            <w:r>
              <w:rPr>
                <w:rFonts w:hint="eastAsia" w:ascii="宋体" w:hAnsi="宋体"/>
                <w:szCs w:val="21"/>
                <w:highlight w:val="none"/>
              </w:rPr>
              <w:t>上海</w:t>
            </w:r>
          </w:p>
          <w:p w14:paraId="5E9DD692">
            <w:pPr>
              <w:jc w:val="center"/>
              <w:rPr>
                <w:rFonts w:ascii="宋体" w:hAnsi="宋体"/>
                <w:szCs w:val="21"/>
                <w:highlight w:val="none"/>
              </w:rPr>
            </w:pPr>
            <w:r>
              <w:rPr>
                <w:rFonts w:hint="eastAsia" w:ascii="宋体" w:hAnsi="宋体"/>
                <w:szCs w:val="21"/>
                <w:highlight w:val="none"/>
              </w:rPr>
              <w:t>广州</w:t>
            </w:r>
          </w:p>
        </w:tc>
      </w:tr>
    </w:tbl>
    <w:p w14:paraId="61EDDA74">
      <w:pPr>
        <w:rPr>
          <w:highlight w:val="none"/>
        </w:rPr>
      </w:pPr>
    </w:p>
    <w:p w14:paraId="0F71A1C7">
      <w:pPr>
        <w:pStyle w:val="36"/>
        <w:rPr>
          <w:highlight w:val="none"/>
        </w:rPr>
      </w:pPr>
    </w:p>
    <w:p w14:paraId="38575ABD">
      <w:pPr>
        <w:pStyle w:val="36"/>
        <w:rPr>
          <w:highlight w:val="none"/>
        </w:rPr>
      </w:pPr>
    </w:p>
    <w:p w14:paraId="74D76912">
      <w:pPr>
        <w:pStyle w:val="36"/>
        <w:rPr>
          <w:highlight w:val="none"/>
        </w:rPr>
      </w:pPr>
    </w:p>
    <w:p w14:paraId="4482F5BF">
      <w:pPr>
        <w:pStyle w:val="36"/>
        <w:rPr>
          <w:highlight w:val="none"/>
        </w:rPr>
      </w:pPr>
    </w:p>
    <w:p w14:paraId="091827F4">
      <w:pPr>
        <w:pStyle w:val="3"/>
        <w:tabs>
          <w:tab w:val="left" w:pos="6972"/>
        </w:tabs>
        <w:jc w:val="left"/>
        <w:rPr>
          <w:rFonts w:ascii="宋体" w:hAnsi="宋体"/>
          <w:szCs w:val="21"/>
          <w:highlight w:val="none"/>
        </w:rPr>
        <w:sectPr>
          <w:footerReference r:id="rId12" w:type="default"/>
          <w:pgSz w:w="11906" w:h="16838"/>
          <w:pgMar w:top="1134" w:right="1134" w:bottom="1134" w:left="1134" w:header="851" w:footer="851" w:gutter="0"/>
          <w:cols w:space="720" w:num="1"/>
          <w:docGrid w:type="lines" w:linePitch="312" w:charSpace="0"/>
        </w:sectPr>
      </w:pPr>
    </w:p>
    <w:p w14:paraId="06B3C333">
      <w:pPr>
        <w:pStyle w:val="36"/>
        <w:rPr>
          <w:color w:val="000000"/>
          <w:highlight w:val="none"/>
        </w:rPr>
      </w:pPr>
    </w:p>
    <w:p w14:paraId="172C9006">
      <w:pPr>
        <w:pStyle w:val="3"/>
        <w:keepLines w:val="0"/>
        <w:spacing w:before="0" w:after="0" w:line="360" w:lineRule="auto"/>
        <w:ind w:right="-441" w:rightChars="-210"/>
        <w:jc w:val="center"/>
        <w:rPr>
          <w:rFonts w:ascii="宋体" w:hAnsi="宋体"/>
          <w:color w:val="000000"/>
          <w:sz w:val="28"/>
          <w:highlight w:val="none"/>
        </w:rPr>
      </w:pPr>
      <w:bookmarkStart w:id="1074" w:name="_Toc14043"/>
      <w:r>
        <w:rPr>
          <w:rFonts w:hint="eastAsia"/>
          <w:color w:val="000000"/>
          <w:kern w:val="2"/>
          <w:highlight w:val="none"/>
        </w:rPr>
        <w:t>第六章  开标、评标和定标</w:t>
      </w:r>
      <w:bookmarkEnd w:id="1074"/>
    </w:p>
    <w:p w14:paraId="6062E7C4">
      <w:pPr>
        <w:spacing w:line="360" w:lineRule="auto"/>
        <w:jc w:val="left"/>
        <w:outlineLvl w:val="1"/>
        <w:rPr>
          <w:rFonts w:ascii="宋体" w:hAnsi="宋体"/>
          <w:b/>
          <w:color w:val="000000"/>
          <w:szCs w:val="21"/>
          <w:highlight w:val="none"/>
        </w:rPr>
      </w:pPr>
      <w:bookmarkStart w:id="1075" w:name="_Toc98580289"/>
      <w:bookmarkStart w:id="1076" w:name="_Toc101843128"/>
      <w:bookmarkStart w:id="1077" w:name="_Toc98579065"/>
      <w:bookmarkStart w:id="1078" w:name="_Toc98579007"/>
      <w:bookmarkStart w:id="1079" w:name="_Toc42394669"/>
      <w:bookmarkStart w:id="1080" w:name="_Toc101951266"/>
      <w:bookmarkStart w:id="1081" w:name="_Toc50276153"/>
      <w:bookmarkStart w:id="1082" w:name="_Toc101771375"/>
      <w:bookmarkStart w:id="1083" w:name="_Toc98579606"/>
      <w:bookmarkStart w:id="1084" w:name="_Toc264203535"/>
      <w:bookmarkStart w:id="1085" w:name="_Toc42394513"/>
      <w:bookmarkStart w:id="1086" w:name="_Toc101775128"/>
      <w:bookmarkStart w:id="1087" w:name="_Toc41723931"/>
      <w:bookmarkStart w:id="1088" w:name="_Toc41884701"/>
      <w:bookmarkStart w:id="1089" w:name="_Toc42313167"/>
      <w:r>
        <w:rPr>
          <w:rFonts w:hint="eastAsia" w:ascii="宋体" w:hAnsi="宋体"/>
          <w:b/>
          <w:color w:val="000000"/>
          <w:szCs w:val="21"/>
          <w:highlight w:val="none"/>
        </w:rPr>
        <w:t>一、评标</w:t>
      </w:r>
      <w:bookmarkEnd w:id="1075"/>
      <w:bookmarkEnd w:id="1076"/>
      <w:bookmarkEnd w:id="1077"/>
      <w:bookmarkEnd w:id="1078"/>
      <w:bookmarkEnd w:id="1079"/>
      <w:bookmarkEnd w:id="1080"/>
      <w:bookmarkEnd w:id="1081"/>
      <w:bookmarkEnd w:id="1082"/>
      <w:bookmarkEnd w:id="1083"/>
      <w:bookmarkEnd w:id="1084"/>
      <w:bookmarkEnd w:id="1085"/>
      <w:bookmarkEnd w:id="1086"/>
    </w:p>
    <w:p w14:paraId="137965D8">
      <w:pPr>
        <w:widowControl/>
        <w:spacing w:line="360" w:lineRule="auto"/>
        <w:jc w:val="left"/>
        <w:rPr>
          <w:rFonts w:ascii="宋体" w:hAnsi="宋体"/>
          <w:color w:val="000000"/>
          <w:szCs w:val="21"/>
          <w:highlight w:val="none"/>
        </w:rPr>
      </w:pPr>
      <w:r>
        <w:rPr>
          <w:rFonts w:hint="eastAsia" w:ascii="宋体" w:hAnsi="宋体"/>
          <w:color w:val="000000"/>
          <w:szCs w:val="21"/>
          <w:highlight w:val="none"/>
        </w:rPr>
        <w:t>（一）本次招标依法组建评标委员会。评标委员会由采购人代表和从</w:t>
      </w:r>
      <w:r>
        <w:rPr>
          <w:rFonts w:hint="eastAsia" w:ascii="宋体" w:hAnsi="宋体"/>
          <w:color w:val="000000"/>
          <w:szCs w:val="21"/>
          <w:highlight w:val="none"/>
          <w:lang w:eastAsia="zh-CN"/>
        </w:rPr>
        <w:t>广东群升</w:t>
      </w:r>
      <w:r>
        <w:rPr>
          <w:rFonts w:hint="eastAsia" w:ascii="宋体" w:hAnsi="宋体"/>
          <w:color w:val="000000"/>
          <w:szCs w:val="21"/>
          <w:highlight w:val="none"/>
        </w:rPr>
        <w:t>采购专家库随机抽取的共计</w:t>
      </w:r>
      <w:r>
        <w:rPr>
          <w:rFonts w:hint="eastAsia" w:ascii="宋体" w:hAnsi="宋体"/>
          <w:color w:val="000000"/>
          <w:szCs w:val="21"/>
          <w:highlight w:val="none"/>
          <w:u w:val="single"/>
        </w:rPr>
        <w:t xml:space="preserve"> 5</w:t>
      </w:r>
      <w:r>
        <w:rPr>
          <w:rFonts w:hint="eastAsia" w:ascii="宋体" w:hAnsi="宋体"/>
          <w:color w:val="000000"/>
          <w:szCs w:val="21"/>
          <w:highlight w:val="none"/>
        </w:rPr>
        <w:t>名，其中专家人数不少于评委会成员总数的三分之二。评委会将本着公平、公正、科学、择优的原则，严格按照法律法规和招标文件的要求推荐评审结果。</w:t>
      </w:r>
    </w:p>
    <w:p w14:paraId="3F27AABB">
      <w:pPr>
        <w:widowControl/>
        <w:spacing w:line="360" w:lineRule="auto"/>
        <w:jc w:val="left"/>
        <w:rPr>
          <w:rFonts w:ascii="宋体" w:hAnsi="宋体"/>
          <w:color w:val="000000"/>
          <w:szCs w:val="21"/>
          <w:highlight w:val="none"/>
        </w:rPr>
      </w:pPr>
      <w:r>
        <w:rPr>
          <w:rFonts w:hint="eastAsia" w:ascii="宋体" w:hAnsi="宋体"/>
          <w:color w:val="000000"/>
          <w:szCs w:val="21"/>
          <w:highlight w:val="none"/>
        </w:rPr>
        <w:t>（二）评审专家有下列情形之一的，受到邀请应主动提出回避，采购当事人也可以要求该评审专家回避：</w:t>
      </w:r>
    </w:p>
    <w:p w14:paraId="639192DB">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1.三年内曾在参加该采购项目的投标人中任职或担任顾问的；</w:t>
      </w:r>
    </w:p>
    <w:p w14:paraId="54AC387B">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2.配偶或直系亲属在参加该采购项目的投标人中任职或担任顾问的；</w:t>
      </w:r>
    </w:p>
    <w:p w14:paraId="55B283E4">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3.与参加该采购项目投标人发生过法律纠纷的；</w:t>
      </w:r>
    </w:p>
    <w:p w14:paraId="5C667EE1">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lang w:val="en-US" w:eastAsia="zh-CN"/>
        </w:rPr>
        <w:t>4</w:t>
      </w:r>
      <w:r>
        <w:rPr>
          <w:rFonts w:hint="eastAsia" w:ascii="宋体" w:hAnsi="宋体"/>
          <w:color w:val="000000"/>
          <w:szCs w:val="21"/>
          <w:highlight w:val="none"/>
        </w:rPr>
        <w:t>.任职单位与采购人或参加该采购项目的投标人存在行政隶属关系的（不含采购人代表）；</w:t>
      </w:r>
    </w:p>
    <w:p w14:paraId="5DE7C057">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lang w:val="en-US" w:eastAsia="zh-CN"/>
        </w:rPr>
        <w:t>5</w:t>
      </w:r>
      <w:r>
        <w:rPr>
          <w:rFonts w:hint="eastAsia" w:ascii="宋体" w:hAnsi="宋体"/>
          <w:color w:val="000000"/>
          <w:szCs w:val="21"/>
          <w:highlight w:val="none"/>
        </w:rPr>
        <w:t>.参与招标文件论证的（不含采购人代表）；</w:t>
      </w:r>
    </w:p>
    <w:p w14:paraId="12BF8B87">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lang w:val="en-US" w:eastAsia="zh-CN"/>
        </w:rPr>
        <w:t>6</w:t>
      </w:r>
      <w:r>
        <w:rPr>
          <w:rFonts w:hint="eastAsia" w:ascii="宋体" w:hAnsi="宋体"/>
          <w:color w:val="000000"/>
          <w:szCs w:val="21"/>
          <w:highlight w:val="none"/>
        </w:rPr>
        <w:t>.法律、法规、规章规定应当回避以及其他可能影响公正评审的。</w:t>
      </w:r>
    </w:p>
    <w:p w14:paraId="7369A37A">
      <w:pPr>
        <w:widowControl/>
        <w:spacing w:line="360" w:lineRule="auto"/>
        <w:jc w:val="left"/>
        <w:rPr>
          <w:rFonts w:ascii="宋体" w:hAnsi="宋体"/>
          <w:color w:val="000000"/>
          <w:szCs w:val="21"/>
          <w:highlight w:val="none"/>
        </w:rPr>
      </w:pPr>
      <w:r>
        <w:rPr>
          <w:rFonts w:hint="eastAsia" w:ascii="宋体" w:hAnsi="宋体"/>
          <w:color w:val="000000"/>
          <w:szCs w:val="21"/>
          <w:highlight w:val="none"/>
        </w:rPr>
        <w:t>（三）本次评标采用综合评分法。评标以招标文件规定的条件为依据。评分比重如下：</w:t>
      </w:r>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6"/>
        <w:gridCol w:w="2121"/>
        <w:gridCol w:w="2122"/>
        <w:gridCol w:w="1936"/>
        <w:gridCol w:w="1936"/>
      </w:tblGrid>
      <w:tr w14:paraId="27BDDC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vAlign w:val="center"/>
          </w:tcPr>
          <w:p w14:paraId="5B600AC9">
            <w:pPr>
              <w:spacing w:line="360" w:lineRule="auto"/>
              <w:jc w:val="center"/>
              <w:rPr>
                <w:rFonts w:ascii="宋体" w:hAnsi="宋体"/>
                <w:bCs/>
                <w:color w:val="000000"/>
                <w:szCs w:val="21"/>
                <w:highlight w:val="none"/>
              </w:rPr>
            </w:pPr>
            <w:r>
              <w:rPr>
                <w:rFonts w:hint="eastAsia" w:ascii="宋体" w:hAnsi="宋体"/>
                <w:bCs/>
                <w:color w:val="000000"/>
                <w:szCs w:val="21"/>
                <w:highlight w:val="none"/>
              </w:rPr>
              <w:t>评分项目</w:t>
            </w:r>
          </w:p>
        </w:tc>
        <w:tc>
          <w:tcPr>
            <w:tcW w:w="2121" w:type="dxa"/>
            <w:tcBorders>
              <w:top w:val="single" w:color="auto" w:sz="4" w:space="0"/>
              <w:left w:val="single" w:color="auto" w:sz="4" w:space="0"/>
              <w:bottom w:val="single" w:color="auto" w:sz="4" w:space="0"/>
              <w:right w:val="single" w:color="auto" w:sz="4" w:space="0"/>
            </w:tcBorders>
            <w:vAlign w:val="center"/>
          </w:tcPr>
          <w:p w14:paraId="01335D16">
            <w:pPr>
              <w:spacing w:line="360" w:lineRule="auto"/>
              <w:jc w:val="center"/>
              <w:rPr>
                <w:rFonts w:ascii="宋体" w:hAnsi="宋体"/>
                <w:bCs/>
                <w:color w:val="000000"/>
                <w:szCs w:val="21"/>
                <w:highlight w:val="none"/>
              </w:rPr>
            </w:pPr>
            <w:r>
              <w:rPr>
                <w:rFonts w:hint="eastAsia" w:ascii="宋体" w:hAnsi="宋体"/>
                <w:bCs/>
                <w:color w:val="000000"/>
                <w:szCs w:val="21"/>
                <w:highlight w:val="none"/>
              </w:rPr>
              <w:t>技术部分</w:t>
            </w:r>
          </w:p>
        </w:tc>
        <w:tc>
          <w:tcPr>
            <w:tcW w:w="2122" w:type="dxa"/>
            <w:tcBorders>
              <w:top w:val="single" w:color="auto" w:sz="4" w:space="0"/>
              <w:left w:val="single" w:color="auto" w:sz="4" w:space="0"/>
              <w:bottom w:val="single" w:color="auto" w:sz="4" w:space="0"/>
              <w:right w:val="single" w:color="auto" w:sz="4" w:space="0"/>
            </w:tcBorders>
            <w:vAlign w:val="center"/>
          </w:tcPr>
          <w:p w14:paraId="5DB1FE90">
            <w:pPr>
              <w:spacing w:line="360" w:lineRule="auto"/>
              <w:jc w:val="center"/>
              <w:rPr>
                <w:rFonts w:ascii="宋体" w:hAnsi="宋体"/>
                <w:bCs/>
                <w:color w:val="000000"/>
                <w:szCs w:val="21"/>
                <w:highlight w:val="none"/>
              </w:rPr>
            </w:pPr>
            <w:r>
              <w:rPr>
                <w:rFonts w:hint="eastAsia" w:ascii="宋体" w:hAnsi="宋体"/>
                <w:bCs/>
                <w:color w:val="000000"/>
                <w:szCs w:val="21"/>
                <w:highlight w:val="none"/>
              </w:rPr>
              <w:t>商务部分</w:t>
            </w:r>
          </w:p>
        </w:tc>
        <w:tc>
          <w:tcPr>
            <w:tcW w:w="1936" w:type="dxa"/>
            <w:tcBorders>
              <w:top w:val="single" w:color="auto" w:sz="4" w:space="0"/>
              <w:left w:val="single" w:color="auto" w:sz="4" w:space="0"/>
              <w:bottom w:val="single" w:color="auto" w:sz="4" w:space="0"/>
              <w:right w:val="single" w:color="auto" w:sz="4" w:space="0"/>
            </w:tcBorders>
            <w:vAlign w:val="center"/>
          </w:tcPr>
          <w:p w14:paraId="1293B1CD">
            <w:pPr>
              <w:spacing w:line="360" w:lineRule="auto"/>
              <w:jc w:val="center"/>
              <w:rPr>
                <w:rFonts w:ascii="宋体" w:hAnsi="宋体"/>
                <w:bCs/>
                <w:color w:val="000000"/>
                <w:szCs w:val="21"/>
                <w:highlight w:val="none"/>
              </w:rPr>
            </w:pPr>
            <w:r>
              <w:rPr>
                <w:rFonts w:hint="eastAsia" w:ascii="宋体" w:hAnsi="宋体"/>
                <w:bCs/>
                <w:color w:val="000000"/>
                <w:szCs w:val="21"/>
                <w:highlight w:val="none"/>
              </w:rPr>
              <w:t>价格部分</w:t>
            </w:r>
          </w:p>
        </w:tc>
        <w:tc>
          <w:tcPr>
            <w:tcW w:w="1936" w:type="dxa"/>
            <w:tcBorders>
              <w:top w:val="single" w:color="auto" w:sz="4" w:space="0"/>
              <w:left w:val="single" w:color="auto" w:sz="4" w:space="0"/>
              <w:bottom w:val="single" w:color="auto" w:sz="4" w:space="0"/>
              <w:right w:val="single" w:color="auto" w:sz="4" w:space="0"/>
            </w:tcBorders>
          </w:tcPr>
          <w:p w14:paraId="7BD3D4A9">
            <w:pPr>
              <w:spacing w:line="360" w:lineRule="auto"/>
              <w:jc w:val="center"/>
              <w:rPr>
                <w:rFonts w:ascii="宋体" w:hAnsi="宋体"/>
                <w:bCs/>
                <w:color w:val="000000"/>
                <w:szCs w:val="21"/>
                <w:highlight w:val="none"/>
              </w:rPr>
            </w:pPr>
            <w:r>
              <w:rPr>
                <w:rFonts w:hint="eastAsia" w:ascii="宋体" w:hAnsi="宋体"/>
                <w:bCs/>
                <w:color w:val="000000"/>
                <w:szCs w:val="21"/>
                <w:highlight w:val="none"/>
              </w:rPr>
              <w:t>总分</w:t>
            </w:r>
          </w:p>
        </w:tc>
      </w:tr>
      <w:tr w14:paraId="6E695E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vAlign w:val="center"/>
          </w:tcPr>
          <w:p w14:paraId="4337CD41">
            <w:pPr>
              <w:spacing w:line="360" w:lineRule="auto"/>
              <w:jc w:val="center"/>
              <w:rPr>
                <w:rFonts w:ascii="宋体" w:hAnsi="宋体"/>
                <w:bCs/>
                <w:color w:val="000000"/>
                <w:szCs w:val="21"/>
                <w:highlight w:val="none"/>
              </w:rPr>
            </w:pPr>
            <w:r>
              <w:rPr>
                <w:rFonts w:hint="eastAsia" w:ascii="宋体" w:hAnsi="宋体"/>
                <w:bCs/>
                <w:color w:val="000000"/>
                <w:szCs w:val="21"/>
                <w:highlight w:val="none"/>
              </w:rPr>
              <w:t>权重</w:t>
            </w:r>
          </w:p>
        </w:tc>
        <w:tc>
          <w:tcPr>
            <w:tcW w:w="2121" w:type="dxa"/>
            <w:tcBorders>
              <w:top w:val="single" w:color="auto" w:sz="4" w:space="0"/>
              <w:left w:val="single" w:color="auto" w:sz="4" w:space="0"/>
              <w:bottom w:val="single" w:color="auto" w:sz="4" w:space="0"/>
              <w:right w:val="single" w:color="auto" w:sz="4" w:space="0"/>
            </w:tcBorders>
            <w:vAlign w:val="center"/>
          </w:tcPr>
          <w:p w14:paraId="04156534">
            <w:pPr>
              <w:spacing w:line="360" w:lineRule="auto"/>
              <w:jc w:val="center"/>
              <w:rPr>
                <w:rFonts w:hint="eastAsia" w:ascii="宋体" w:hAnsi="宋体" w:eastAsia="宋体"/>
                <w:bCs/>
                <w:color w:val="000000"/>
                <w:szCs w:val="21"/>
                <w:highlight w:val="none"/>
                <w:lang w:val="en-US" w:eastAsia="zh-CN"/>
              </w:rPr>
            </w:pPr>
            <w:r>
              <w:rPr>
                <w:rFonts w:hint="eastAsia" w:ascii="宋体" w:hAnsi="宋体"/>
                <w:bCs/>
                <w:color w:val="000000"/>
                <w:szCs w:val="21"/>
                <w:highlight w:val="none"/>
              </w:rPr>
              <w:t>1</w:t>
            </w:r>
            <w:r>
              <w:rPr>
                <w:rFonts w:hint="eastAsia" w:ascii="宋体" w:hAnsi="宋体"/>
                <w:bCs/>
                <w:color w:val="000000"/>
                <w:szCs w:val="21"/>
                <w:highlight w:val="none"/>
                <w:lang w:val="en-US" w:eastAsia="zh-CN"/>
              </w:rPr>
              <w:t>0</w:t>
            </w:r>
          </w:p>
        </w:tc>
        <w:tc>
          <w:tcPr>
            <w:tcW w:w="2122" w:type="dxa"/>
            <w:tcBorders>
              <w:top w:val="single" w:color="auto" w:sz="4" w:space="0"/>
              <w:left w:val="single" w:color="auto" w:sz="4" w:space="0"/>
              <w:bottom w:val="single" w:color="auto" w:sz="4" w:space="0"/>
              <w:right w:val="single" w:color="auto" w:sz="4" w:space="0"/>
            </w:tcBorders>
            <w:vAlign w:val="center"/>
          </w:tcPr>
          <w:p w14:paraId="626B571E">
            <w:pPr>
              <w:spacing w:line="360" w:lineRule="auto"/>
              <w:jc w:val="center"/>
              <w:rPr>
                <w:rFonts w:hint="eastAsia" w:ascii="宋体" w:hAnsi="宋体" w:eastAsia="宋体"/>
                <w:bCs/>
                <w:color w:val="000000"/>
                <w:szCs w:val="21"/>
                <w:highlight w:val="none"/>
                <w:lang w:val="en-US" w:eastAsia="zh-CN"/>
              </w:rPr>
            </w:pPr>
            <w:r>
              <w:rPr>
                <w:rFonts w:hint="eastAsia" w:ascii="宋体" w:hAnsi="宋体"/>
                <w:bCs/>
                <w:color w:val="000000"/>
                <w:szCs w:val="21"/>
                <w:highlight w:val="none"/>
              </w:rPr>
              <w:t>2</w:t>
            </w:r>
            <w:r>
              <w:rPr>
                <w:rFonts w:hint="eastAsia" w:ascii="宋体" w:hAnsi="宋体"/>
                <w:bCs/>
                <w:color w:val="000000"/>
                <w:szCs w:val="21"/>
                <w:highlight w:val="none"/>
                <w:lang w:val="en-US" w:eastAsia="zh-CN"/>
              </w:rPr>
              <w:t>0</w:t>
            </w:r>
          </w:p>
        </w:tc>
        <w:tc>
          <w:tcPr>
            <w:tcW w:w="1936" w:type="dxa"/>
            <w:tcBorders>
              <w:top w:val="single" w:color="auto" w:sz="4" w:space="0"/>
              <w:left w:val="single" w:color="auto" w:sz="4" w:space="0"/>
              <w:bottom w:val="single" w:color="auto" w:sz="4" w:space="0"/>
              <w:right w:val="single" w:color="auto" w:sz="4" w:space="0"/>
            </w:tcBorders>
            <w:vAlign w:val="center"/>
          </w:tcPr>
          <w:p w14:paraId="43C890BD">
            <w:pPr>
              <w:spacing w:line="360" w:lineRule="auto"/>
              <w:jc w:val="center"/>
              <w:rPr>
                <w:rFonts w:hint="default" w:ascii="宋体" w:hAnsi="宋体" w:eastAsia="宋体"/>
                <w:bCs/>
                <w:color w:val="000000"/>
                <w:szCs w:val="21"/>
                <w:highlight w:val="none"/>
                <w:lang w:val="en-US" w:eastAsia="zh-CN"/>
              </w:rPr>
            </w:pPr>
            <w:r>
              <w:rPr>
                <w:rFonts w:hint="eastAsia" w:ascii="宋体" w:hAnsi="宋体"/>
                <w:bCs/>
                <w:color w:val="000000"/>
                <w:szCs w:val="21"/>
                <w:highlight w:val="none"/>
                <w:lang w:val="en-US" w:eastAsia="zh-CN"/>
              </w:rPr>
              <w:t>70</w:t>
            </w:r>
          </w:p>
        </w:tc>
        <w:tc>
          <w:tcPr>
            <w:tcW w:w="1936" w:type="dxa"/>
            <w:tcBorders>
              <w:top w:val="single" w:color="auto" w:sz="4" w:space="0"/>
              <w:left w:val="single" w:color="auto" w:sz="4" w:space="0"/>
              <w:bottom w:val="single" w:color="auto" w:sz="4" w:space="0"/>
              <w:right w:val="single" w:color="auto" w:sz="4" w:space="0"/>
            </w:tcBorders>
          </w:tcPr>
          <w:p w14:paraId="67C1E131">
            <w:pPr>
              <w:spacing w:line="360" w:lineRule="auto"/>
              <w:jc w:val="center"/>
              <w:rPr>
                <w:rFonts w:ascii="宋体" w:hAnsi="宋体"/>
                <w:bCs/>
                <w:color w:val="000000"/>
                <w:szCs w:val="21"/>
                <w:highlight w:val="none"/>
              </w:rPr>
            </w:pPr>
            <w:r>
              <w:rPr>
                <w:rFonts w:hint="eastAsia" w:ascii="宋体" w:hAnsi="宋体"/>
                <w:bCs/>
                <w:color w:val="000000"/>
                <w:szCs w:val="21"/>
                <w:highlight w:val="none"/>
              </w:rPr>
              <w:t>100</w:t>
            </w:r>
          </w:p>
        </w:tc>
      </w:tr>
    </w:tbl>
    <w:p w14:paraId="5FE5C8DA">
      <w:pPr>
        <w:spacing w:line="360" w:lineRule="auto"/>
        <w:jc w:val="left"/>
        <w:outlineLvl w:val="1"/>
        <w:rPr>
          <w:rFonts w:ascii="宋体" w:hAnsi="宋体"/>
          <w:b/>
          <w:color w:val="000000"/>
          <w:szCs w:val="21"/>
          <w:highlight w:val="none"/>
        </w:rPr>
      </w:pPr>
    </w:p>
    <w:p w14:paraId="1370C115">
      <w:pPr>
        <w:spacing w:line="360" w:lineRule="auto"/>
        <w:jc w:val="left"/>
        <w:outlineLvl w:val="1"/>
        <w:rPr>
          <w:rFonts w:ascii="宋体" w:hAnsi="宋体"/>
          <w:b/>
          <w:color w:val="000000"/>
          <w:szCs w:val="21"/>
          <w:highlight w:val="none"/>
        </w:rPr>
      </w:pPr>
      <w:bookmarkStart w:id="1090" w:name="_Toc101951267"/>
      <w:bookmarkStart w:id="1091" w:name="_Toc264203536"/>
      <w:bookmarkStart w:id="1092" w:name="_Toc101775129"/>
      <w:bookmarkStart w:id="1093" w:name="_Toc101771376"/>
      <w:bookmarkStart w:id="1094" w:name="_Toc101843129"/>
      <w:r>
        <w:rPr>
          <w:rFonts w:hint="eastAsia" w:ascii="宋体" w:hAnsi="宋体"/>
          <w:b/>
          <w:color w:val="000000"/>
          <w:szCs w:val="21"/>
          <w:highlight w:val="none"/>
        </w:rPr>
        <w:t>二、评标程序</w:t>
      </w:r>
      <w:bookmarkEnd w:id="1090"/>
      <w:bookmarkEnd w:id="1091"/>
      <w:bookmarkEnd w:id="1092"/>
      <w:bookmarkEnd w:id="1093"/>
      <w:bookmarkEnd w:id="1094"/>
    </w:p>
    <w:p w14:paraId="727E44F4">
      <w:pPr>
        <w:widowControl/>
        <w:spacing w:line="360" w:lineRule="auto"/>
        <w:jc w:val="left"/>
        <w:rPr>
          <w:rFonts w:ascii="宋体" w:hAnsi="宋体"/>
          <w:b/>
          <w:color w:val="000000"/>
          <w:szCs w:val="21"/>
          <w:highlight w:val="none"/>
        </w:rPr>
      </w:pPr>
      <w:r>
        <w:rPr>
          <w:rFonts w:hint="eastAsia" w:ascii="宋体" w:hAnsi="宋体"/>
          <w:b/>
          <w:color w:val="000000"/>
          <w:szCs w:val="21"/>
          <w:highlight w:val="none"/>
        </w:rPr>
        <w:t>（一）投标文件资格性、符合性审查</w:t>
      </w:r>
    </w:p>
    <w:p w14:paraId="7C8CAA28">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1.评标委员会将根据评审细则的规定，对各投标文件进行资格性审查和符合性审查。</w:t>
      </w:r>
    </w:p>
    <w:p w14:paraId="058E2C1C">
      <w:pPr>
        <w:widowControl/>
        <w:tabs>
          <w:tab w:val="left" w:pos="720"/>
          <w:tab w:val="left" w:pos="900"/>
        </w:tabs>
        <w:spacing w:line="360" w:lineRule="auto"/>
        <w:rPr>
          <w:rFonts w:ascii="宋体" w:hAnsi="宋体"/>
          <w:color w:val="000000"/>
          <w:szCs w:val="21"/>
          <w:highlight w:val="none"/>
        </w:rPr>
      </w:pPr>
      <w:r>
        <w:rPr>
          <w:rFonts w:hint="eastAsia" w:ascii="宋体" w:hAnsi="宋体"/>
          <w:color w:val="000000"/>
          <w:szCs w:val="21"/>
          <w:highlight w:val="none"/>
        </w:rPr>
        <w:t>2.投标文件出现下列情况之一时将被认定为无效投标：</w:t>
      </w:r>
    </w:p>
    <w:p w14:paraId="363B2835">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095" w:name="_Toc334795457"/>
      <w:r>
        <w:rPr>
          <w:rFonts w:hint="eastAsia" w:hAnsi="宋体" w:cs="宋体"/>
          <w:b w:val="0"/>
          <w:color w:val="000000"/>
          <w:sz w:val="21"/>
          <w:szCs w:val="21"/>
          <w:highlight w:val="none"/>
        </w:rPr>
        <w:t>（1）投标人不具备招标文件中规定资格要求的；</w:t>
      </w:r>
      <w:bookmarkEnd w:id="1095"/>
    </w:p>
    <w:p w14:paraId="11757684">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096" w:name="_Toc334795458"/>
      <w:r>
        <w:rPr>
          <w:rFonts w:hint="eastAsia" w:hAnsi="宋体" w:cs="宋体"/>
          <w:b w:val="0"/>
          <w:color w:val="000000"/>
          <w:sz w:val="21"/>
          <w:szCs w:val="21"/>
          <w:highlight w:val="none"/>
        </w:rPr>
        <w:t>（2）投标报价不是唯一的或高于最高限价的；</w:t>
      </w:r>
      <w:bookmarkEnd w:id="1096"/>
    </w:p>
    <w:p w14:paraId="7F78B750">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097" w:name="_Toc334795459"/>
      <w:r>
        <w:rPr>
          <w:rFonts w:hint="eastAsia" w:hAnsi="宋体" w:cs="宋体"/>
          <w:b w:val="0"/>
          <w:color w:val="000000"/>
          <w:sz w:val="21"/>
          <w:szCs w:val="21"/>
          <w:highlight w:val="none"/>
        </w:rPr>
        <w:t>（3）投标人未按规定提交投标保证金或提交金额不足的；</w:t>
      </w:r>
      <w:bookmarkEnd w:id="1097"/>
    </w:p>
    <w:p w14:paraId="461FAE2A">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098" w:name="_Toc334795460"/>
      <w:r>
        <w:rPr>
          <w:rFonts w:hint="eastAsia" w:hAnsi="宋体" w:cs="宋体"/>
          <w:b w:val="0"/>
          <w:color w:val="000000"/>
          <w:sz w:val="21"/>
          <w:szCs w:val="21"/>
          <w:highlight w:val="none"/>
        </w:rPr>
        <w:t>（4）投标文件未按招标文件的要求盖章及由法定代表人(或法定代表人委托的代理人)的印鉴或签名的；</w:t>
      </w:r>
      <w:bookmarkEnd w:id="1098"/>
    </w:p>
    <w:p w14:paraId="5028C5F3">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099" w:name="_Toc334795461"/>
      <w:r>
        <w:rPr>
          <w:rFonts w:hint="eastAsia" w:hAnsi="宋体" w:cs="宋体"/>
          <w:b w:val="0"/>
          <w:color w:val="000000"/>
          <w:sz w:val="21"/>
          <w:szCs w:val="21"/>
          <w:highlight w:val="none"/>
        </w:rPr>
        <w:t>（6）投标文件没有提供有效的法定代表人证明及授权书；</w:t>
      </w:r>
      <w:bookmarkEnd w:id="1099"/>
    </w:p>
    <w:p w14:paraId="6DF219EA">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100" w:name="_Toc334795462"/>
      <w:r>
        <w:rPr>
          <w:rFonts w:hint="eastAsia" w:hAnsi="宋体" w:cs="宋体"/>
          <w:b w:val="0"/>
          <w:color w:val="000000"/>
          <w:sz w:val="21"/>
          <w:szCs w:val="21"/>
          <w:highlight w:val="none"/>
        </w:rPr>
        <w:t>（7）投标有效期不足的；</w:t>
      </w:r>
      <w:bookmarkEnd w:id="1100"/>
    </w:p>
    <w:p w14:paraId="21FB69AC">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101" w:name="_Toc334795463"/>
      <w:r>
        <w:rPr>
          <w:rFonts w:hint="eastAsia" w:hAnsi="宋体" w:cs="宋体"/>
          <w:b w:val="0"/>
          <w:color w:val="000000"/>
          <w:sz w:val="21"/>
          <w:szCs w:val="21"/>
          <w:highlight w:val="none"/>
        </w:rPr>
        <w:t>（8）投标文件不符合招标文件的其他要求，有重大偏离的；</w:t>
      </w:r>
      <w:bookmarkEnd w:id="1101"/>
    </w:p>
    <w:p w14:paraId="55B12A5A">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102" w:name="_Toc334795464"/>
      <w:r>
        <w:rPr>
          <w:rFonts w:hint="eastAsia" w:hAnsi="宋体" w:cs="宋体"/>
          <w:b w:val="0"/>
          <w:color w:val="000000"/>
          <w:sz w:val="21"/>
          <w:szCs w:val="21"/>
          <w:highlight w:val="none"/>
        </w:rPr>
        <w:t>（9）评标期间，投标人没有按评标委员会的要求提交经授权代表签字的澄清、说明、补正或改变了投标文件的实质性内容的；</w:t>
      </w:r>
      <w:bookmarkEnd w:id="1102"/>
    </w:p>
    <w:p w14:paraId="665F1A47">
      <w:pPr>
        <w:pStyle w:val="6"/>
        <w:keepNext w:val="0"/>
        <w:tabs>
          <w:tab w:val="left" w:pos="720"/>
          <w:tab w:val="left" w:pos="900"/>
        </w:tabs>
        <w:autoSpaceDE w:val="0"/>
        <w:autoSpaceDN w:val="0"/>
        <w:adjustRightInd w:val="0"/>
        <w:snapToGrid w:val="0"/>
        <w:spacing w:line="240" w:lineRule="auto"/>
        <w:rPr>
          <w:rFonts w:hAnsi="宋体" w:cs="宋体"/>
          <w:b w:val="0"/>
          <w:color w:val="000000"/>
          <w:sz w:val="21"/>
          <w:szCs w:val="21"/>
          <w:highlight w:val="none"/>
        </w:rPr>
      </w:pPr>
      <w:bookmarkStart w:id="1103" w:name="_Toc334795465"/>
      <w:r>
        <w:rPr>
          <w:rFonts w:hint="eastAsia" w:hAnsi="宋体" w:cs="宋体"/>
          <w:b w:val="0"/>
          <w:color w:val="000000"/>
          <w:sz w:val="21"/>
          <w:szCs w:val="21"/>
          <w:highlight w:val="none"/>
        </w:rPr>
        <w:t>（10）经评标委员会认定投标文件提供虚假材料的；</w:t>
      </w:r>
      <w:bookmarkEnd w:id="1103"/>
    </w:p>
    <w:p w14:paraId="43BB0136">
      <w:pPr>
        <w:pStyle w:val="6"/>
        <w:keepNext w:val="0"/>
        <w:tabs>
          <w:tab w:val="left" w:pos="900"/>
        </w:tabs>
        <w:autoSpaceDE w:val="0"/>
        <w:autoSpaceDN w:val="0"/>
        <w:adjustRightInd w:val="0"/>
        <w:snapToGrid w:val="0"/>
        <w:spacing w:line="240" w:lineRule="auto"/>
        <w:rPr>
          <w:rFonts w:hAnsi="宋体" w:cs="宋体"/>
          <w:b w:val="0"/>
          <w:color w:val="000000"/>
          <w:sz w:val="21"/>
          <w:szCs w:val="21"/>
          <w:highlight w:val="none"/>
        </w:rPr>
      </w:pPr>
      <w:bookmarkStart w:id="1104" w:name="_Toc334795466"/>
      <w:r>
        <w:rPr>
          <w:rFonts w:hint="eastAsia" w:hAnsi="宋体" w:cs="宋体"/>
          <w:b w:val="0"/>
          <w:color w:val="000000"/>
          <w:sz w:val="21"/>
          <w:szCs w:val="21"/>
          <w:highlight w:val="none"/>
        </w:rPr>
        <w:t>（11）投标人以他人的名义投标、串通投标、以行贿手段谋取中标或者以其他弄虚作假方式投标的；</w:t>
      </w:r>
      <w:bookmarkEnd w:id="1104"/>
    </w:p>
    <w:p w14:paraId="5B8634FF">
      <w:pPr>
        <w:pStyle w:val="6"/>
        <w:keepNext w:val="0"/>
        <w:tabs>
          <w:tab w:val="left" w:pos="900"/>
        </w:tabs>
        <w:autoSpaceDE w:val="0"/>
        <w:autoSpaceDN w:val="0"/>
        <w:adjustRightInd w:val="0"/>
        <w:snapToGrid w:val="0"/>
        <w:spacing w:line="240" w:lineRule="auto"/>
        <w:rPr>
          <w:rFonts w:hAnsi="宋体" w:cs="宋体"/>
          <w:b w:val="0"/>
          <w:color w:val="000000"/>
          <w:sz w:val="21"/>
          <w:szCs w:val="21"/>
          <w:highlight w:val="none"/>
        </w:rPr>
      </w:pPr>
      <w:bookmarkStart w:id="1105" w:name="_Toc334795467"/>
      <w:r>
        <w:rPr>
          <w:rFonts w:hint="eastAsia" w:hAnsi="宋体" w:cs="宋体"/>
          <w:b w:val="0"/>
          <w:color w:val="000000"/>
          <w:sz w:val="21"/>
          <w:szCs w:val="21"/>
          <w:highlight w:val="none"/>
        </w:rPr>
        <w:t>（12）投标人对采购人、招标代理机构、评标委员会及其工作人员施加影响，有碍招标公平、公正的；</w:t>
      </w:r>
      <w:bookmarkEnd w:id="1105"/>
    </w:p>
    <w:p w14:paraId="113F15C6">
      <w:pPr>
        <w:pStyle w:val="6"/>
        <w:keepNext w:val="0"/>
        <w:tabs>
          <w:tab w:val="left" w:pos="900"/>
        </w:tabs>
        <w:autoSpaceDE w:val="0"/>
        <w:autoSpaceDN w:val="0"/>
        <w:adjustRightInd w:val="0"/>
        <w:snapToGrid w:val="0"/>
        <w:spacing w:line="240" w:lineRule="auto"/>
        <w:rPr>
          <w:rFonts w:hAnsi="宋体" w:cs="宋体"/>
          <w:b w:val="0"/>
          <w:color w:val="000000"/>
          <w:sz w:val="21"/>
          <w:szCs w:val="21"/>
          <w:highlight w:val="none"/>
        </w:rPr>
      </w:pPr>
      <w:bookmarkStart w:id="1106" w:name="_Toc334795468"/>
      <w:r>
        <w:rPr>
          <w:rFonts w:hint="eastAsia" w:hAnsi="宋体" w:cs="宋体"/>
          <w:b w:val="0"/>
          <w:color w:val="000000"/>
          <w:sz w:val="21"/>
          <w:szCs w:val="21"/>
          <w:highlight w:val="none"/>
        </w:rPr>
        <w:t>（13）投标文件附有采购人不能接受的条件；</w:t>
      </w:r>
      <w:bookmarkEnd w:id="1106"/>
    </w:p>
    <w:p w14:paraId="00A56924">
      <w:pPr>
        <w:pStyle w:val="6"/>
        <w:keepNext w:val="0"/>
        <w:tabs>
          <w:tab w:val="left" w:pos="900"/>
        </w:tabs>
        <w:autoSpaceDE w:val="0"/>
        <w:autoSpaceDN w:val="0"/>
        <w:adjustRightInd w:val="0"/>
        <w:snapToGrid w:val="0"/>
        <w:spacing w:line="240" w:lineRule="auto"/>
        <w:rPr>
          <w:rFonts w:hAnsi="宋体" w:cs="宋体"/>
          <w:b w:val="0"/>
          <w:color w:val="000000"/>
          <w:sz w:val="21"/>
          <w:szCs w:val="21"/>
          <w:highlight w:val="none"/>
        </w:rPr>
      </w:pPr>
      <w:bookmarkStart w:id="1107" w:name="_Toc334795469"/>
      <w:r>
        <w:rPr>
          <w:rFonts w:hint="eastAsia" w:hAnsi="宋体" w:cs="宋体"/>
          <w:b w:val="0"/>
          <w:color w:val="000000"/>
          <w:sz w:val="21"/>
          <w:szCs w:val="21"/>
          <w:highlight w:val="none"/>
        </w:rPr>
        <w:t>（14）出现不符合相关法律、法规要求的情况的。</w:t>
      </w:r>
      <w:bookmarkEnd w:id="1107"/>
    </w:p>
    <w:p w14:paraId="15244A76">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3.符合性审查结论意见采取少数服从多数原则，即超过半数评委的结论为“通过”则该投标人通过</w:t>
      </w:r>
      <w:r>
        <w:rPr>
          <w:rFonts w:ascii="宋体" w:hAnsi="宋体"/>
          <w:color w:val="000000"/>
          <w:szCs w:val="21"/>
          <w:highlight w:val="none"/>
        </w:rPr>
        <w:t>资格审查及符合性检查</w:t>
      </w:r>
      <w:r>
        <w:rPr>
          <w:rFonts w:hint="eastAsia" w:ascii="宋体" w:hAnsi="宋体"/>
          <w:color w:val="000000"/>
          <w:szCs w:val="21"/>
          <w:highlight w:val="none"/>
        </w:rPr>
        <w:t>，否则不通过。</w:t>
      </w:r>
    </w:p>
    <w:p w14:paraId="2423D666">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4.招标文件中，如标有“▲”的条款均为评审的重要评分指标，投标人若有部分“▲”条款未响应或不满足，将导致其响应性评审严重扣分。</w:t>
      </w:r>
    </w:p>
    <w:p w14:paraId="02AE308F">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5.评标委员会认为，投标人的报价明显不合理或者明显低于其他投标报价，有可能影响服务质量和不能诚信履约的，应当要求该投标人作出书面说明并提供相关证明材料。投标人不能合理说明或者不能提供相关证明材料的，由评标委员会认定该投标人以低于成本报价竞标，投标无效。</w:t>
      </w:r>
    </w:p>
    <w:p w14:paraId="31781375">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6.被评标委员会确定为投标文件无效的，其投标文件即被视为不能通过符合性审查，不得参与技术、商务和价格的评审。</w:t>
      </w:r>
    </w:p>
    <w:p w14:paraId="43D1DC40">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7.评标委员会对各投标人进行资格性和符合性审查过程中，对初步被认定为初审不合格或无效投标者应实行及时告知，由评标委员会主任或采购人代表将集体意见现场及时告知投标当事人，以让其核证、澄清事实。</w:t>
      </w:r>
    </w:p>
    <w:p w14:paraId="3AEF1914">
      <w:pPr>
        <w:widowControl/>
        <w:tabs>
          <w:tab w:val="left" w:pos="720"/>
          <w:tab w:val="left" w:pos="1080"/>
        </w:tabs>
        <w:spacing w:line="360" w:lineRule="auto"/>
        <w:rPr>
          <w:rFonts w:ascii="宋体" w:hAnsi="宋体"/>
          <w:color w:val="000000"/>
          <w:szCs w:val="21"/>
          <w:highlight w:val="none"/>
        </w:rPr>
      </w:pPr>
    </w:p>
    <w:p w14:paraId="2CBA6665">
      <w:pPr>
        <w:widowControl/>
        <w:spacing w:line="360" w:lineRule="auto"/>
        <w:jc w:val="left"/>
        <w:rPr>
          <w:rFonts w:ascii="宋体" w:hAnsi="宋体"/>
          <w:b/>
          <w:color w:val="000000"/>
          <w:szCs w:val="21"/>
          <w:highlight w:val="none"/>
        </w:rPr>
      </w:pPr>
      <w:r>
        <w:rPr>
          <w:rFonts w:hint="eastAsia" w:ascii="宋体" w:hAnsi="宋体"/>
          <w:b/>
          <w:color w:val="000000"/>
          <w:szCs w:val="21"/>
          <w:highlight w:val="none"/>
        </w:rPr>
        <w:t>（二）投标文件的澄清</w:t>
      </w:r>
    </w:p>
    <w:p w14:paraId="6E1721F0">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1.对投标文件中含义不明确、同类问题表述不一致或者有明显文字和计算错误的内容，评标委员会可以书面形式要求投标人作出必要的澄清、说明或者纠正。</w:t>
      </w:r>
    </w:p>
    <w:p w14:paraId="17C5FF6A">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2.投标人的澄清、说明或者补正应当采用书面形式，由其授权的代表签字，并不得超出投标文件的范围或者改变投标文件的实质性内容。</w:t>
      </w:r>
    </w:p>
    <w:p w14:paraId="55769D72">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3.</w:t>
      </w:r>
      <w:r>
        <w:rPr>
          <w:rFonts w:hint="eastAsia"/>
          <w:color w:val="000000"/>
          <w:szCs w:val="21"/>
          <w:highlight w:val="none"/>
        </w:rPr>
        <w:t>除上述规定的情形之外，评标委员会在评审过程中，不得接收来自评审现场以外的任何形式的文件资料。</w:t>
      </w:r>
    </w:p>
    <w:p w14:paraId="3A9ABE49">
      <w:pPr>
        <w:widowControl/>
        <w:spacing w:line="360" w:lineRule="auto"/>
        <w:jc w:val="left"/>
        <w:rPr>
          <w:rFonts w:ascii="宋体" w:hAnsi="宋体"/>
          <w:b/>
          <w:color w:val="000000"/>
          <w:szCs w:val="21"/>
          <w:highlight w:val="none"/>
        </w:rPr>
      </w:pPr>
      <w:r>
        <w:rPr>
          <w:rFonts w:hint="eastAsia" w:ascii="宋体" w:hAnsi="宋体"/>
          <w:b/>
          <w:color w:val="000000"/>
          <w:szCs w:val="21"/>
          <w:highlight w:val="none"/>
        </w:rPr>
        <w:t>（三）技术评定</w:t>
      </w:r>
    </w:p>
    <w:p w14:paraId="170AD866">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1.由评委对所有有效投标文件的技术响应方案进行审核和分析，填写《技术评审表》。评审内容见附表。</w:t>
      </w:r>
    </w:p>
    <w:p w14:paraId="4CA67E6D">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2.将每一个评委的评分汇总，进行算术平均，得出该投标人的技术评分。</w:t>
      </w:r>
    </w:p>
    <w:p w14:paraId="4AB4C50C">
      <w:pPr>
        <w:widowControl/>
        <w:spacing w:line="360" w:lineRule="auto"/>
        <w:jc w:val="left"/>
        <w:rPr>
          <w:rFonts w:ascii="宋体" w:hAnsi="宋体"/>
          <w:b/>
          <w:color w:val="000000"/>
          <w:szCs w:val="21"/>
          <w:highlight w:val="none"/>
        </w:rPr>
      </w:pPr>
      <w:r>
        <w:rPr>
          <w:rFonts w:hint="eastAsia" w:ascii="宋体" w:hAnsi="宋体"/>
          <w:b/>
          <w:color w:val="000000"/>
          <w:szCs w:val="21"/>
          <w:highlight w:val="none"/>
        </w:rPr>
        <w:t xml:space="preserve">（四）商务评定  </w:t>
      </w:r>
    </w:p>
    <w:p w14:paraId="0E229A9B">
      <w:pPr>
        <w:widowControl/>
        <w:tabs>
          <w:tab w:val="left" w:pos="720"/>
          <w:tab w:val="left" w:pos="1080"/>
        </w:tabs>
        <w:spacing w:line="360" w:lineRule="auto"/>
        <w:rPr>
          <w:rFonts w:ascii="宋体" w:hAnsi="宋体"/>
          <w:color w:val="000000"/>
          <w:szCs w:val="21"/>
          <w:highlight w:val="none"/>
        </w:rPr>
      </w:pPr>
      <w:r>
        <w:rPr>
          <w:rFonts w:hint="eastAsia" w:ascii="宋体" w:hAnsi="宋体"/>
          <w:color w:val="000000"/>
          <w:szCs w:val="21"/>
          <w:highlight w:val="none"/>
        </w:rPr>
        <w:t xml:space="preserve">1.由评委对所有有效投标文件的商务条件进行审核和评价，填写《商务评审表》，评审内容见附表。 </w:t>
      </w:r>
    </w:p>
    <w:p w14:paraId="4F524D13">
      <w:pPr>
        <w:widowControl/>
        <w:tabs>
          <w:tab w:val="left" w:pos="720"/>
          <w:tab w:val="left" w:pos="1080"/>
        </w:tabs>
        <w:spacing w:line="360" w:lineRule="auto"/>
        <w:rPr>
          <w:rFonts w:ascii="宋体" w:hAnsi="宋体"/>
          <w:b/>
          <w:color w:val="000000"/>
          <w:szCs w:val="21"/>
          <w:highlight w:val="none"/>
        </w:rPr>
      </w:pPr>
      <w:r>
        <w:rPr>
          <w:rFonts w:hint="eastAsia" w:ascii="宋体" w:hAnsi="宋体"/>
          <w:color w:val="000000"/>
          <w:szCs w:val="21"/>
          <w:highlight w:val="none"/>
        </w:rPr>
        <w:t>2.将每一个评委的评分汇总，进行算术平均，得出该投标人的商务评分。</w:t>
      </w:r>
    </w:p>
    <w:p w14:paraId="71615A97">
      <w:pPr>
        <w:widowControl/>
        <w:spacing w:line="360" w:lineRule="auto"/>
        <w:rPr>
          <w:rFonts w:ascii="宋体" w:hAnsi="宋体"/>
          <w:b/>
          <w:color w:val="000000"/>
          <w:szCs w:val="21"/>
          <w:highlight w:val="none"/>
        </w:rPr>
      </w:pPr>
      <w:r>
        <w:rPr>
          <w:rFonts w:hint="eastAsia" w:ascii="宋体" w:hAnsi="宋体"/>
          <w:b/>
          <w:color w:val="000000"/>
          <w:szCs w:val="21"/>
          <w:highlight w:val="none"/>
        </w:rPr>
        <w:t>（五）价格评定</w:t>
      </w:r>
    </w:p>
    <w:p w14:paraId="5247D56B">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1.价格核准：评委对有效投标人的详细报价进行复核，复核原则为：</w:t>
      </w:r>
    </w:p>
    <w:p w14:paraId="00178AD9">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1）开标时，投标文件中开标一览表（报价表）内容与投标文件中明细表内容不一致的，以开标一览表（报价表）为准。投标文件的大写金额和小写金额不一致的，以大写金额为准；总价金额与按单价计算汇总金额不一致的，以单价计算汇总金额为准；单价金额小数点有明显错位的，应以总价为准，并修改单价；</w:t>
      </w:r>
    </w:p>
    <w:p w14:paraId="44D14AC3">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2）对投标服务的关键、主要内容，投标人报价漏项的，作非实质性响应投标处理；</w:t>
      </w:r>
    </w:p>
    <w:p w14:paraId="4B57DB72">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3）对投标服务的非关键、非主要内容，投标人报价漏项的，评标时将要求漏项的投标人予以澄清，但该澄清不作为评标的依据；评标委员会将以其它投标人对应项的最高投标报价补充计入其评标价；</w:t>
      </w:r>
    </w:p>
    <w:p w14:paraId="385DF350">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4）对非关键、非主要内容的费用，如果投标人是另行单独报价的，评标时也相应另行计入其评标价；</w:t>
      </w:r>
    </w:p>
    <w:p w14:paraId="55B3ADBB">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5）对数量的评审，以第二部分《采购人需求》所明示数量为准；《采购人需求》未明示的，由评标委员会以其专业知识判断，必要时参考投标人的澄清文件决定；</w:t>
      </w:r>
    </w:p>
    <w:p w14:paraId="6885968D">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6）本条款中多种处理原则所产生的结果不一致的，以最高的修正价作为评标价。</w:t>
      </w:r>
    </w:p>
    <w:p w14:paraId="21F57F38">
      <w:pPr>
        <w:widowControl/>
        <w:spacing w:line="360" w:lineRule="auto"/>
        <w:jc w:val="left"/>
        <w:rPr>
          <w:rFonts w:ascii="宋体" w:hAnsi="宋体"/>
          <w:b/>
          <w:color w:val="000000"/>
          <w:szCs w:val="21"/>
          <w:highlight w:val="none"/>
        </w:rPr>
      </w:pPr>
      <w:r>
        <w:rPr>
          <w:rFonts w:hint="eastAsia" w:ascii="宋体" w:hAnsi="宋体"/>
          <w:b/>
          <w:color w:val="000000"/>
          <w:szCs w:val="21"/>
          <w:highlight w:val="none"/>
        </w:rPr>
        <w:t>（六）综合评分的计算</w:t>
      </w:r>
    </w:p>
    <w:p w14:paraId="03E7DFCE">
      <w:pPr>
        <w:widowControl/>
        <w:tabs>
          <w:tab w:val="left" w:pos="720"/>
        </w:tabs>
        <w:spacing w:line="360" w:lineRule="auto"/>
        <w:rPr>
          <w:rFonts w:ascii="宋体" w:hAnsi="宋体"/>
          <w:color w:val="000000"/>
          <w:szCs w:val="21"/>
          <w:highlight w:val="none"/>
        </w:rPr>
      </w:pPr>
      <w:r>
        <w:rPr>
          <w:rFonts w:hint="eastAsia" w:ascii="宋体" w:hAnsi="宋体"/>
          <w:color w:val="000000"/>
          <w:szCs w:val="21"/>
          <w:highlight w:val="none"/>
        </w:rPr>
        <w:t>1.综合评分=技术</w:t>
      </w:r>
      <w:r>
        <w:rPr>
          <w:rFonts w:hint="eastAsia" w:ascii="宋体" w:hAnsi="宋体"/>
          <w:bCs/>
          <w:color w:val="000000"/>
          <w:szCs w:val="21"/>
          <w:highlight w:val="none"/>
        </w:rPr>
        <w:t>得分</w:t>
      </w:r>
      <w:r>
        <w:rPr>
          <w:rFonts w:ascii="宋体" w:hAnsi="宋体"/>
          <w:bCs/>
          <w:color w:val="000000"/>
          <w:szCs w:val="21"/>
          <w:highlight w:val="none"/>
        </w:rPr>
        <w:t>+</w:t>
      </w:r>
      <w:r>
        <w:rPr>
          <w:rFonts w:hint="eastAsia" w:ascii="宋体" w:hAnsi="宋体"/>
          <w:bCs/>
          <w:color w:val="000000"/>
          <w:szCs w:val="21"/>
          <w:highlight w:val="none"/>
        </w:rPr>
        <w:t>商务得分</w:t>
      </w:r>
      <w:r>
        <w:rPr>
          <w:rFonts w:ascii="宋体" w:hAnsi="宋体"/>
          <w:bCs/>
          <w:color w:val="000000"/>
          <w:szCs w:val="21"/>
          <w:highlight w:val="none"/>
        </w:rPr>
        <w:t>+</w:t>
      </w:r>
      <w:r>
        <w:rPr>
          <w:rFonts w:hint="eastAsia" w:ascii="宋体" w:hAnsi="宋体"/>
          <w:bCs/>
          <w:color w:val="000000"/>
          <w:szCs w:val="21"/>
          <w:highlight w:val="none"/>
        </w:rPr>
        <w:t>价格得分。</w:t>
      </w:r>
    </w:p>
    <w:p w14:paraId="3FE3A6A9">
      <w:pPr>
        <w:widowControl/>
        <w:tabs>
          <w:tab w:val="left" w:pos="720"/>
        </w:tabs>
        <w:spacing w:line="360" w:lineRule="auto"/>
        <w:rPr>
          <w:rFonts w:ascii="宋体" w:hAnsi="宋体"/>
          <w:b/>
          <w:color w:val="000000"/>
          <w:szCs w:val="21"/>
          <w:highlight w:val="none"/>
        </w:rPr>
      </w:pPr>
      <w:r>
        <w:rPr>
          <w:rFonts w:hint="eastAsia" w:ascii="宋体" w:hAnsi="宋体"/>
          <w:color w:val="000000"/>
          <w:szCs w:val="21"/>
          <w:highlight w:val="none"/>
        </w:rPr>
        <w:t>2.</w:t>
      </w:r>
      <w:r>
        <w:rPr>
          <w:rFonts w:hint="eastAsia"/>
          <w:color w:val="000000"/>
          <w:szCs w:val="21"/>
          <w:highlight w:val="none"/>
        </w:rPr>
        <w:t>各项得分按四舍五入原则精确到小数点后两位。将综合评分由高到低顺序排列。综合评分相同的，按评标价由低到高顺序排列；综合评分相同，且评标价相同的，按服务评分由高到低顺序排列。</w:t>
      </w:r>
      <w:r>
        <w:rPr>
          <w:rStyle w:val="47"/>
          <w:rFonts w:hint="eastAsia" w:ascii="宋体" w:hAnsi="宋体"/>
          <w:color w:val="000000"/>
          <w:highlight w:val="none"/>
        </w:rPr>
        <w:t>综合评分相同，且评标价和服务评分均相同的，名次由评委会抽签决定。</w:t>
      </w:r>
      <w:r>
        <w:rPr>
          <w:rFonts w:hint="eastAsia"/>
          <w:color w:val="000000"/>
          <w:szCs w:val="21"/>
          <w:highlight w:val="none"/>
        </w:rPr>
        <w:t>评委会按上述排列向采购人推荐综合总得分第一名为中标候选单位，其余依次为中标备选单位。</w:t>
      </w:r>
      <w:bookmarkStart w:id="1108" w:name="_Toc101775130"/>
      <w:bookmarkStart w:id="1109" w:name="_Toc264203537"/>
      <w:bookmarkStart w:id="1110" w:name="_Toc101771377"/>
      <w:bookmarkStart w:id="1111" w:name="_Toc101843130"/>
      <w:bookmarkStart w:id="1112" w:name="_Toc101951268"/>
    </w:p>
    <w:p w14:paraId="3C948EF6">
      <w:pPr>
        <w:spacing w:line="360" w:lineRule="auto"/>
        <w:jc w:val="left"/>
        <w:outlineLvl w:val="1"/>
        <w:rPr>
          <w:rFonts w:ascii="宋体" w:hAnsi="宋体"/>
          <w:b/>
          <w:color w:val="000000"/>
          <w:szCs w:val="21"/>
          <w:highlight w:val="none"/>
        </w:rPr>
      </w:pPr>
      <w:r>
        <w:rPr>
          <w:rFonts w:hint="eastAsia" w:ascii="宋体" w:hAnsi="宋体"/>
          <w:b/>
          <w:color w:val="000000"/>
          <w:szCs w:val="21"/>
          <w:highlight w:val="none"/>
        </w:rPr>
        <w:t>三、项目废标处理</w:t>
      </w:r>
      <w:bookmarkEnd w:id="1108"/>
      <w:bookmarkEnd w:id="1109"/>
      <w:bookmarkEnd w:id="1110"/>
      <w:bookmarkEnd w:id="1111"/>
      <w:bookmarkEnd w:id="1112"/>
    </w:p>
    <w:p w14:paraId="483988B9">
      <w:pPr>
        <w:spacing w:line="360" w:lineRule="auto"/>
        <w:ind w:firstLine="472" w:firstLineChars="225"/>
        <w:rPr>
          <w:rFonts w:ascii="宋体" w:hAnsi="宋体"/>
          <w:color w:val="000000"/>
          <w:szCs w:val="21"/>
          <w:highlight w:val="none"/>
        </w:rPr>
      </w:pPr>
      <w:r>
        <w:rPr>
          <w:rFonts w:hint="eastAsia" w:ascii="宋体" w:hAnsi="宋体"/>
          <w:color w:val="000000"/>
          <w:szCs w:val="21"/>
          <w:highlight w:val="none"/>
        </w:rPr>
        <w:t>参照《政府采购法》第三十六条规定，下列情况出现将作废标处理：</w:t>
      </w:r>
    </w:p>
    <w:p w14:paraId="1BF63ECC">
      <w:pPr>
        <w:pStyle w:val="6"/>
        <w:keepNext w:val="0"/>
        <w:autoSpaceDE w:val="0"/>
        <w:autoSpaceDN w:val="0"/>
        <w:adjustRightInd w:val="0"/>
        <w:snapToGrid w:val="0"/>
        <w:spacing w:line="360" w:lineRule="auto"/>
        <w:rPr>
          <w:b w:val="0"/>
          <w:color w:val="000000"/>
          <w:sz w:val="21"/>
          <w:szCs w:val="21"/>
          <w:highlight w:val="none"/>
        </w:rPr>
      </w:pPr>
      <w:bookmarkStart w:id="1113" w:name="_Toc334795470"/>
      <w:r>
        <w:rPr>
          <w:rFonts w:hint="eastAsia"/>
          <w:b w:val="0"/>
          <w:color w:val="000000"/>
          <w:sz w:val="21"/>
          <w:szCs w:val="21"/>
          <w:highlight w:val="none"/>
        </w:rPr>
        <w:t>（一）符合专业技术资格条件的投标人或者对招标文件作实质响应的有效投标人不足三家的；</w:t>
      </w:r>
      <w:bookmarkEnd w:id="1113"/>
    </w:p>
    <w:p w14:paraId="4368694E">
      <w:pPr>
        <w:pStyle w:val="6"/>
        <w:keepNext w:val="0"/>
        <w:autoSpaceDE w:val="0"/>
        <w:autoSpaceDN w:val="0"/>
        <w:adjustRightInd w:val="0"/>
        <w:snapToGrid w:val="0"/>
        <w:spacing w:line="360" w:lineRule="auto"/>
        <w:rPr>
          <w:b w:val="0"/>
          <w:color w:val="000000"/>
          <w:sz w:val="21"/>
          <w:szCs w:val="21"/>
          <w:highlight w:val="none"/>
        </w:rPr>
      </w:pPr>
      <w:bookmarkStart w:id="1114" w:name="_Toc334795471"/>
      <w:r>
        <w:rPr>
          <w:rFonts w:hint="eastAsia"/>
          <w:b w:val="0"/>
          <w:color w:val="000000"/>
          <w:sz w:val="21"/>
          <w:szCs w:val="21"/>
          <w:highlight w:val="none"/>
        </w:rPr>
        <w:t>（二）出现影响采购公正的违法、违规行为的；</w:t>
      </w:r>
      <w:bookmarkEnd w:id="1114"/>
      <w:r>
        <w:rPr>
          <w:rFonts w:hint="eastAsia"/>
          <w:b w:val="0"/>
          <w:color w:val="000000"/>
          <w:sz w:val="21"/>
          <w:szCs w:val="21"/>
          <w:highlight w:val="none"/>
        </w:rPr>
        <w:t xml:space="preserve"> </w:t>
      </w:r>
    </w:p>
    <w:p w14:paraId="5C16F326">
      <w:pPr>
        <w:pStyle w:val="6"/>
        <w:keepNext w:val="0"/>
        <w:autoSpaceDE w:val="0"/>
        <w:autoSpaceDN w:val="0"/>
        <w:adjustRightInd w:val="0"/>
        <w:snapToGrid w:val="0"/>
        <w:spacing w:line="360" w:lineRule="auto"/>
        <w:rPr>
          <w:b w:val="0"/>
          <w:color w:val="000000"/>
          <w:sz w:val="21"/>
          <w:szCs w:val="21"/>
          <w:highlight w:val="none"/>
        </w:rPr>
      </w:pPr>
      <w:bookmarkStart w:id="1115" w:name="_Toc334795472"/>
      <w:r>
        <w:rPr>
          <w:rFonts w:hint="eastAsia"/>
          <w:b w:val="0"/>
          <w:color w:val="000000"/>
          <w:sz w:val="21"/>
          <w:szCs w:val="21"/>
          <w:highlight w:val="none"/>
        </w:rPr>
        <w:t>（三）投标人的报价均超过了采购预算，采购人不能支付的；</w:t>
      </w:r>
      <w:bookmarkEnd w:id="1115"/>
      <w:r>
        <w:rPr>
          <w:rFonts w:hint="eastAsia"/>
          <w:b w:val="0"/>
          <w:color w:val="000000"/>
          <w:sz w:val="21"/>
          <w:szCs w:val="21"/>
          <w:highlight w:val="none"/>
        </w:rPr>
        <w:t xml:space="preserve"> </w:t>
      </w:r>
    </w:p>
    <w:p w14:paraId="4F70432B">
      <w:pPr>
        <w:pStyle w:val="6"/>
        <w:keepNext w:val="0"/>
        <w:autoSpaceDE w:val="0"/>
        <w:autoSpaceDN w:val="0"/>
        <w:adjustRightInd w:val="0"/>
        <w:snapToGrid w:val="0"/>
        <w:spacing w:line="360" w:lineRule="auto"/>
        <w:rPr>
          <w:b w:val="0"/>
          <w:color w:val="000000"/>
          <w:szCs w:val="21"/>
          <w:highlight w:val="none"/>
        </w:rPr>
      </w:pPr>
      <w:bookmarkStart w:id="1116" w:name="_Toc334795473"/>
      <w:r>
        <w:rPr>
          <w:rFonts w:hint="eastAsia"/>
          <w:b w:val="0"/>
          <w:color w:val="000000"/>
          <w:sz w:val="21"/>
          <w:szCs w:val="21"/>
          <w:highlight w:val="none"/>
        </w:rPr>
        <w:t>（四）因重大变故，采购任务取消的。</w:t>
      </w:r>
      <w:bookmarkEnd w:id="1116"/>
      <w:r>
        <w:rPr>
          <w:rFonts w:hint="eastAsia"/>
          <w:b w:val="0"/>
          <w:color w:val="000000"/>
          <w:sz w:val="21"/>
          <w:szCs w:val="21"/>
          <w:highlight w:val="none"/>
        </w:rPr>
        <w:t xml:space="preserve"> </w:t>
      </w:r>
      <w:bookmarkEnd w:id="1087"/>
      <w:bookmarkEnd w:id="1088"/>
      <w:bookmarkEnd w:id="1089"/>
      <w:bookmarkStart w:id="1117" w:name="_Toc98580290"/>
      <w:bookmarkStart w:id="1118" w:name="_Toc42394670"/>
      <w:bookmarkStart w:id="1119" w:name="_Toc42394514"/>
      <w:bookmarkStart w:id="1120" w:name="_Toc98579008"/>
      <w:bookmarkStart w:id="1121" w:name="_Toc41884703"/>
      <w:bookmarkStart w:id="1122" w:name="_Toc98579066"/>
      <w:bookmarkStart w:id="1123" w:name="_Toc42313169"/>
      <w:bookmarkStart w:id="1124" w:name="_Toc101775131"/>
      <w:bookmarkStart w:id="1125" w:name="_Toc264203538"/>
      <w:bookmarkStart w:id="1126" w:name="_Toc41723933"/>
      <w:bookmarkStart w:id="1127" w:name="_Toc50276154"/>
      <w:bookmarkStart w:id="1128" w:name="_Toc98579607"/>
      <w:bookmarkStart w:id="1129" w:name="_Toc101771378"/>
      <w:bookmarkStart w:id="1130" w:name="_Toc101951269"/>
      <w:bookmarkStart w:id="1131" w:name="_Toc101843131"/>
    </w:p>
    <w:p w14:paraId="1C5334BC">
      <w:pPr>
        <w:spacing w:line="360" w:lineRule="auto"/>
        <w:jc w:val="left"/>
        <w:outlineLvl w:val="1"/>
        <w:rPr>
          <w:rFonts w:ascii="宋体" w:hAnsi="宋体"/>
          <w:b/>
          <w:color w:val="000000"/>
          <w:szCs w:val="21"/>
          <w:highlight w:val="none"/>
        </w:rPr>
      </w:pPr>
      <w:r>
        <w:rPr>
          <w:rFonts w:hint="eastAsia" w:ascii="宋体" w:hAnsi="宋体"/>
          <w:b/>
          <w:color w:val="000000"/>
          <w:szCs w:val="21"/>
          <w:highlight w:val="none"/>
        </w:rPr>
        <w:t>四、定标</w:t>
      </w:r>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p>
    <w:p w14:paraId="48D817A6">
      <w:pPr>
        <w:pStyle w:val="6"/>
        <w:keepNext w:val="0"/>
        <w:tabs>
          <w:tab w:val="left" w:pos="0"/>
          <w:tab w:val="left" w:pos="1260"/>
          <w:tab w:val="left" w:pos="1980"/>
        </w:tabs>
        <w:autoSpaceDE w:val="0"/>
        <w:autoSpaceDN w:val="0"/>
        <w:adjustRightInd w:val="0"/>
        <w:snapToGrid w:val="0"/>
        <w:spacing w:line="360" w:lineRule="auto"/>
        <w:rPr>
          <w:b w:val="0"/>
          <w:color w:val="000000"/>
          <w:sz w:val="21"/>
          <w:szCs w:val="21"/>
          <w:highlight w:val="none"/>
        </w:rPr>
      </w:pPr>
      <w:bookmarkStart w:id="1132" w:name="_Toc334795474"/>
      <w:r>
        <w:rPr>
          <w:rFonts w:hint="eastAsia"/>
          <w:b w:val="0"/>
          <w:color w:val="000000"/>
          <w:sz w:val="21"/>
          <w:szCs w:val="21"/>
          <w:highlight w:val="none"/>
        </w:rPr>
        <w:t>（一）凡发现中标投标人有下列行为之一的，其中标无效，并移交</w:t>
      </w:r>
      <w:r>
        <w:rPr>
          <w:rFonts w:hint="eastAsia"/>
          <w:b w:val="0"/>
          <w:color w:val="000000"/>
          <w:sz w:val="21"/>
          <w:szCs w:val="21"/>
          <w:highlight w:val="none"/>
          <w:lang w:eastAsia="zh-CN"/>
        </w:rPr>
        <w:t>同级</w:t>
      </w:r>
      <w:r>
        <w:rPr>
          <w:rFonts w:hint="eastAsia"/>
          <w:b w:val="0"/>
          <w:color w:val="000000"/>
          <w:sz w:val="21"/>
          <w:szCs w:val="21"/>
          <w:highlight w:val="none"/>
        </w:rPr>
        <w:t>采购监督管理部门依法处理。</w:t>
      </w:r>
      <w:bookmarkEnd w:id="1132"/>
    </w:p>
    <w:p w14:paraId="27817148">
      <w:pPr>
        <w:widowControl/>
        <w:tabs>
          <w:tab w:val="left" w:pos="720"/>
        </w:tabs>
        <w:spacing w:line="360" w:lineRule="auto"/>
        <w:ind w:left="360"/>
        <w:rPr>
          <w:rFonts w:ascii="宋体" w:hAnsi="宋体"/>
          <w:color w:val="000000"/>
          <w:szCs w:val="21"/>
          <w:highlight w:val="none"/>
        </w:rPr>
      </w:pPr>
      <w:r>
        <w:rPr>
          <w:rFonts w:hint="eastAsia" w:ascii="宋体" w:hAnsi="宋体" w:cs="宋体"/>
          <w:color w:val="000000"/>
          <w:szCs w:val="21"/>
          <w:highlight w:val="none"/>
        </w:rPr>
        <w:t>1.提供虚假材料谋取中标的</w:t>
      </w:r>
      <w:r>
        <w:rPr>
          <w:rFonts w:hint="eastAsia" w:ascii="宋体" w:hAnsi="宋体"/>
          <w:color w:val="000000"/>
          <w:szCs w:val="21"/>
          <w:highlight w:val="none"/>
        </w:rPr>
        <w:t>；</w:t>
      </w:r>
    </w:p>
    <w:p w14:paraId="2E58C91B">
      <w:pPr>
        <w:widowControl/>
        <w:tabs>
          <w:tab w:val="left" w:pos="720"/>
        </w:tabs>
        <w:spacing w:line="360" w:lineRule="auto"/>
        <w:ind w:left="360"/>
        <w:rPr>
          <w:rFonts w:ascii="宋体" w:hAnsi="宋体" w:cs="宋体"/>
          <w:color w:val="000000"/>
          <w:szCs w:val="21"/>
          <w:highlight w:val="none"/>
        </w:rPr>
      </w:pPr>
      <w:r>
        <w:rPr>
          <w:rFonts w:hint="eastAsia" w:ascii="宋体" w:hAnsi="宋体" w:cs="宋体"/>
          <w:color w:val="000000"/>
          <w:szCs w:val="21"/>
          <w:highlight w:val="none"/>
        </w:rPr>
        <w:t>2.采取不正当手段诋毁、排挤其他投标人的；</w:t>
      </w:r>
    </w:p>
    <w:p w14:paraId="4BAE8400">
      <w:pPr>
        <w:widowControl/>
        <w:tabs>
          <w:tab w:val="left" w:pos="720"/>
        </w:tabs>
        <w:spacing w:line="360" w:lineRule="auto"/>
        <w:ind w:left="360"/>
        <w:rPr>
          <w:rFonts w:ascii="宋体" w:hAnsi="宋体" w:cs="宋体"/>
          <w:color w:val="000000"/>
          <w:szCs w:val="21"/>
          <w:highlight w:val="none"/>
        </w:rPr>
      </w:pPr>
      <w:r>
        <w:rPr>
          <w:rFonts w:hint="eastAsia" w:ascii="宋体" w:hAnsi="宋体" w:cs="宋体"/>
          <w:color w:val="000000"/>
          <w:szCs w:val="21"/>
          <w:highlight w:val="none"/>
        </w:rPr>
        <w:t>3.与采购人、其他投标人或者招标代理机构工作人员恶意串通的；</w:t>
      </w:r>
    </w:p>
    <w:p w14:paraId="3292FAD7">
      <w:pPr>
        <w:widowControl/>
        <w:tabs>
          <w:tab w:val="left" w:pos="720"/>
        </w:tabs>
        <w:spacing w:line="360" w:lineRule="auto"/>
        <w:ind w:left="360"/>
        <w:rPr>
          <w:rFonts w:ascii="宋体" w:hAnsi="宋体" w:cs="宋体"/>
          <w:color w:val="000000"/>
          <w:szCs w:val="21"/>
          <w:highlight w:val="none"/>
        </w:rPr>
      </w:pPr>
      <w:r>
        <w:rPr>
          <w:rFonts w:hint="eastAsia" w:ascii="宋体" w:hAnsi="宋体" w:cs="宋体"/>
          <w:color w:val="000000"/>
          <w:szCs w:val="21"/>
          <w:highlight w:val="none"/>
        </w:rPr>
        <w:t>4.向采购人、招标代理机构工作人员行贿或者提供其他不正当利益的；</w:t>
      </w:r>
    </w:p>
    <w:p w14:paraId="0356D843">
      <w:pPr>
        <w:widowControl/>
        <w:tabs>
          <w:tab w:val="left" w:pos="720"/>
        </w:tabs>
        <w:spacing w:line="360" w:lineRule="auto"/>
        <w:ind w:left="360"/>
        <w:rPr>
          <w:rFonts w:ascii="宋体" w:hAnsi="宋体" w:cs="宋体"/>
          <w:color w:val="000000"/>
          <w:szCs w:val="21"/>
          <w:highlight w:val="none"/>
        </w:rPr>
      </w:pPr>
      <w:r>
        <w:rPr>
          <w:rFonts w:hint="eastAsia" w:ascii="宋体" w:hAnsi="宋体" w:cs="宋体"/>
          <w:color w:val="000000"/>
          <w:szCs w:val="21"/>
          <w:highlight w:val="none"/>
        </w:rPr>
        <w:t>5.在招标采购过程中与采购人进行协商谈判的；</w:t>
      </w:r>
    </w:p>
    <w:p w14:paraId="57A69A54">
      <w:pPr>
        <w:widowControl/>
        <w:tabs>
          <w:tab w:val="left" w:pos="720"/>
        </w:tabs>
        <w:spacing w:line="360" w:lineRule="auto"/>
        <w:ind w:left="360"/>
        <w:rPr>
          <w:rFonts w:ascii="宋体" w:hAnsi="宋体" w:cs="宋体"/>
          <w:color w:val="000000"/>
          <w:szCs w:val="21"/>
          <w:highlight w:val="none"/>
        </w:rPr>
      </w:pPr>
      <w:r>
        <w:rPr>
          <w:rFonts w:hint="eastAsia" w:ascii="宋体" w:hAnsi="宋体" w:cs="宋体"/>
          <w:color w:val="000000"/>
          <w:szCs w:val="21"/>
          <w:highlight w:val="none"/>
        </w:rPr>
        <w:t>6.拒绝有关部门监督检查或者提供虚假情况的；</w:t>
      </w:r>
    </w:p>
    <w:p w14:paraId="76E31BA0">
      <w:pPr>
        <w:widowControl/>
        <w:tabs>
          <w:tab w:val="left" w:pos="720"/>
        </w:tabs>
        <w:spacing w:line="360" w:lineRule="auto"/>
        <w:ind w:left="360"/>
        <w:rPr>
          <w:rFonts w:ascii="宋体" w:hAnsi="宋体" w:cs="宋体"/>
          <w:color w:val="000000"/>
          <w:szCs w:val="21"/>
          <w:highlight w:val="none"/>
        </w:rPr>
      </w:pPr>
      <w:r>
        <w:rPr>
          <w:rFonts w:hint="eastAsia" w:ascii="宋体" w:hAnsi="宋体" w:cs="宋体"/>
          <w:color w:val="000000"/>
          <w:szCs w:val="21"/>
          <w:highlight w:val="none"/>
        </w:rPr>
        <w:t>7.有法律、法规规定的其他损害招标人利益和社会公共利益情形的。</w:t>
      </w:r>
    </w:p>
    <w:p w14:paraId="661CF3CF">
      <w:pPr>
        <w:pStyle w:val="6"/>
        <w:keepNext w:val="0"/>
        <w:tabs>
          <w:tab w:val="left" w:pos="0"/>
          <w:tab w:val="left" w:pos="1260"/>
          <w:tab w:val="left" w:pos="1980"/>
        </w:tabs>
        <w:autoSpaceDE w:val="0"/>
        <w:autoSpaceDN w:val="0"/>
        <w:adjustRightInd w:val="0"/>
        <w:snapToGrid w:val="0"/>
        <w:spacing w:line="360" w:lineRule="auto"/>
        <w:rPr>
          <w:b w:val="0"/>
          <w:color w:val="000000"/>
          <w:sz w:val="21"/>
          <w:szCs w:val="21"/>
          <w:highlight w:val="none"/>
        </w:rPr>
      </w:pPr>
      <w:bookmarkStart w:id="1133" w:name="_Toc334795475"/>
      <w:r>
        <w:rPr>
          <w:rFonts w:hint="eastAsia"/>
          <w:b w:val="0"/>
          <w:color w:val="000000"/>
          <w:sz w:val="21"/>
          <w:szCs w:val="21"/>
          <w:highlight w:val="none"/>
        </w:rPr>
        <w:t>（二）招标代理机构在评标结束后三个工作日内将评标报告及《确认采购结果通知书》送采购人。</w:t>
      </w:r>
      <w:bookmarkEnd w:id="1133"/>
    </w:p>
    <w:p w14:paraId="5F815A15">
      <w:pPr>
        <w:pStyle w:val="6"/>
        <w:keepNext w:val="0"/>
        <w:tabs>
          <w:tab w:val="left" w:pos="0"/>
          <w:tab w:val="left" w:pos="1260"/>
          <w:tab w:val="left" w:pos="1980"/>
        </w:tabs>
        <w:autoSpaceDE w:val="0"/>
        <w:autoSpaceDN w:val="0"/>
        <w:adjustRightInd w:val="0"/>
        <w:snapToGrid w:val="0"/>
        <w:spacing w:line="360" w:lineRule="auto"/>
        <w:rPr>
          <w:b w:val="0"/>
          <w:color w:val="000000"/>
          <w:sz w:val="21"/>
          <w:szCs w:val="21"/>
          <w:highlight w:val="none"/>
        </w:rPr>
      </w:pPr>
      <w:bookmarkStart w:id="1134" w:name="_Toc334795476"/>
      <w:r>
        <w:rPr>
          <w:rFonts w:hint="eastAsia"/>
          <w:b w:val="0"/>
          <w:color w:val="000000"/>
          <w:sz w:val="21"/>
          <w:szCs w:val="21"/>
          <w:highlight w:val="none"/>
        </w:rPr>
        <w:t>（三）招标代理机构将中标结果在指定媒体公布。</w:t>
      </w:r>
      <w:bookmarkEnd w:id="1134"/>
    </w:p>
    <w:p w14:paraId="351E4EEA">
      <w:pPr>
        <w:pStyle w:val="6"/>
        <w:keepNext w:val="0"/>
        <w:tabs>
          <w:tab w:val="left" w:pos="0"/>
          <w:tab w:val="left" w:pos="1260"/>
          <w:tab w:val="left" w:pos="1980"/>
        </w:tabs>
        <w:autoSpaceDE w:val="0"/>
        <w:autoSpaceDN w:val="0"/>
        <w:adjustRightInd w:val="0"/>
        <w:snapToGrid w:val="0"/>
        <w:spacing w:line="360" w:lineRule="auto"/>
        <w:rPr>
          <w:b w:val="0"/>
          <w:color w:val="000000"/>
          <w:sz w:val="21"/>
          <w:szCs w:val="21"/>
          <w:highlight w:val="none"/>
        </w:rPr>
      </w:pPr>
      <w:bookmarkStart w:id="1135" w:name="_Toc334795477"/>
      <w:r>
        <w:rPr>
          <w:rFonts w:hint="eastAsia"/>
          <w:b w:val="0"/>
          <w:color w:val="000000"/>
          <w:sz w:val="21"/>
          <w:szCs w:val="21"/>
          <w:highlight w:val="none"/>
        </w:rPr>
        <w:t>（四）中标结果公告后，招标代理机构以书面形式向中标投标人发出《招标代理服务费缴费通知书》。</w:t>
      </w:r>
      <w:bookmarkEnd w:id="1135"/>
    </w:p>
    <w:p w14:paraId="2FA657B9">
      <w:pPr>
        <w:pStyle w:val="6"/>
        <w:keepNext w:val="0"/>
        <w:tabs>
          <w:tab w:val="left" w:pos="0"/>
          <w:tab w:val="left" w:pos="1260"/>
          <w:tab w:val="left" w:pos="1980"/>
        </w:tabs>
        <w:autoSpaceDE w:val="0"/>
        <w:autoSpaceDN w:val="0"/>
        <w:adjustRightInd w:val="0"/>
        <w:snapToGrid w:val="0"/>
        <w:spacing w:line="360" w:lineRule="auto"/>
        <w:rPr>
          <w:b w:val="0"/>
          <w:color w:val="000000"/>
          <w:sz w:val="21"/>
          <w:szCs w:val="21"/>
          <w:highlight w:val="none"/>
        </w:rPr>
      </w:pPr>
      <w:bookmarkStart w:id="1136" w:name="_Toc334795478"/>
      <w:r>
        <w:rPr>
          <w:rFonts w:hint="eastAsia"/>
          <w:b w:val="0"/>
          <w:color w:val="000000"/>
          <w:sz w:val="21"/>
          <w:szCs w:val="21"/>
          <w:highlight w:val="none"/>
        </w:rPr>
        <w:t>（五）中标投标人凭招标代理机构开具的《招标代理服务费缴费通知书》到银行办理缴费手续，凭银行回单原件到招标代理机构开发票，领取《中标通知书》。《中标通知书》将作为授予合同资格的唯一合法依据。</w:t>
      </w:r>
      <w:bookmarkEnd w:id="1136"/>
    </w:p>
    <w:p w14:paraId="7002058A">
      <w:pPr>
        <w:pStyle w:val="6"/>
        <w:keepNext w:val="0"/>
        <w:tabs>
          <w:tab w:val="left" w:pos="0"/>
          <w:tab w:val="left" w:pos="1260"/>
          <w:tab w:val="left" w:pos="1980"/>
        </w:tabs>
        <w:autoSpaceDE w:val="0"/>
        <w:autoSpaceDN w:val="0"/>
        <w:adjustRightInd w:val="0"/>
        <w:snapToGrid w:val="0"/>
        <w:spacing w:line="360" w:lineRule="auto"/>
        <w:rPr>
          <w:b w:val="0"/>
          <w:color w:val="000000"/>
          <w:sz w:val="21"/>
          <w:szCs w:val="21"/>
          <w:highlight w:val="none"/>
        </w:rPr>
      </w:pPr>
      <w:bookmarkStart w:id="1137" w:name="_Toc334795479"/>
      <w:r>
        <w:rPr>
          <w:rFonts w:hint="eastAsia"/>
          <w:b w:val="0"/>
          <w:color w:val="000000"/>
          <w:sz w:val="21"/>
          <w:szCs w:val="21"/>
          <w:highlight w:val="none"/>
        </w:rPr>
        <w:t>（六）中标投标人放弃中标的，应当依法承担法律责任。</w:t>
      </w:r>
      <w:bookmarkEnd w:id="1137"/>
    </w:p>
    <w:p w14:paraId="18C0454A">
      <w:pPr>
        <w:spacing w:line="360" w:lineRule="auto"/>
        <w:ind w:firstLine="420" w:firstLineChars="200"/>
        <w:rPr>
          <w:rFonts w:ascii="宋体" w:hAnsi="宋体"/>
          <w:bCs/>
          <w:color w:val="000000"/>
          <w:szCs w:val="21"/>
          <w:highlight w:val="none"/>
        </w:rPr>
        <w:sectPr>
          <w:pgSz w:w="11907" w:h="16840"/>
          <w:pgMar w:top="1418" w:right="1304" w:bottom="1361" w:left="1361" w:header="794" w:footer="794" w:gutter="0"/>
          <w:cols w:space="720" w:num="1"/>
          <w:docGrid w:type="linesAndChars" w:linePitch="285" w:charSpace="0"/>
        </w:sectPr>
      </w:pPr>
    </w:p>
    <w:p w14:paraId="60638200">
      <w:pPr>
        <w:pStyle w:val="4"/>
        <w:spacing w:line="240" w:lineRule="auto"/>
        <w:rPr>
          <w:highlight w:val="none"/>
        </w:rPr>
      </w:pPr>
      <w:bookmarkStart w:id="1138" w:name="_Toc334795480"/>
      <w:r>
        <w:rPr>
          <w:rFonts w:hint="eastAsia"/>
          <w:highlight w:val="none"/>
        </w:rPr>
        <w:t>附表一                 资格性审查表</w:t>
      </w:r>
    </w:p>
    <w:tbl>
      <w:tblPr>
        <w:tblStyle w:val="22"/>
        <w:tblW w:w="9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8"/>
        <w:gridCol w:w="1521"/>
        <w:gridCol w:w="1701"/>
        <w:gridCol w:w="1701"/>
      </w:tblGrid>
      <w:tr w14:paraId="72862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08" w:type="dxa"/>
            <w:vMerge w:val="restart"/>
            <w:vAlign w:val="center"/>
          </w:tcPr>
          <w:p w14:paraId="06C19672">
            <w:pPr>
              <w:jc w:val="center"/>
              <w:rPr>
                <w:rFonts w:ascii="宋体" w:hAnsi="宋体"/>
                <w:color w:val="000000"/>
                <w:szCs w:val="21"/>
                <w:highlight w:val="none"/>
              </w:rPr>
            </w:pPr>
            <w:r>
              <w:rPr>
                <w:rFonts w:hint="eastAsia" w:ascii="宋体" w:hAnsi="宋体"/>
                <w:color w:val="000000"/>
                <w:szCs w:val="21"/>
                <w:highlight w:val="none"/>
              </w:rPr>
              <w:t>评审内容</w:t>
            </w:r>
          </w:p>
        </w:tc>
        <w:tc>
          <w:tcPr>
            <w:tcW w:w="4923" w:type="dxa"/>
            <w:gridSpan w:val="3"/>
            <w:vAlign w:val="center"/>
          </w:tcPr>
          <w:p w14:paraId="025365E4">
            <w:pPr>
              <w:jc w:val="center"/>
              <w:rPr>
                <w:rFonts w:ascii="宋体" w:hAnsi="宋体"/>
                <w:color w:val="000000"/>
                <w:szCs w:val="21"/>
                <w:highlight w:val="none"/>
              </w:rPr>
            </w:pPr>
            <w:r>
              <w:rPr>
                <w:rFonts w:hint="eastAsia" w:ascii="宋体" w:hAnsi="宋体"/>
                <w:color w:val="000000"/>
                <w:szCs w:val="21"/>
                <w:highlight w:val="none"/>
              </w:rPr>
              <w:t>投标人名称</w:t>
            </w:r>
          </w:p>
        </w:tc>
      </w:tr>
      <w:tr w14:paraId="27E35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08" w:type="dxa"/>
            <w:vMerge w:val="continue"/>
            <w:vAlign w:val="center"/>
          </w:tcPr>
          <w:p w14:paraId="4B6B3930">
            <w:pPr>
              <w:rPr>
                <w:rFonts w:ascii="宋体" w:hAnsi="宋体"/>
                <w:color w:val="000000"/>
                <w:szCs w:val="21"/>
                <w:highlight w:val="none"/>
              </w:rPr>
            </w:pPr>
          </w:p>
        </w:tc>
        <w:tc>
          <w:tcPr>
            <w:tcW w:w="1521" w:type="dxa"/>
            <w:vAlign w:val="center"/>
          </w:tcPr>
          <w:p w14:paraId="6BF8C1DB">
            <w:pPr>
              <w:jc w:val="center"/>
              <w:rPr>
                <w:rFonts w:ascii="宋体" w:hAnsi="宋体" w:cs="宋体"/>
                <w:color w:val="000000"/>
                <w:szCs w:val="21"/>
                <w:highlight w:val="none"/>
              </w:rPr>
            </w:pPr>
            <w:r>
              <w:rPr>
                <w:rFonts w:hint="eastAsia" w:ascii="宋体" w:hAnsi="宋体" w:cs="宋体"/>
                <w:color w:val="000000"/>
                <w:szCs w:val="21"/>
                <w:highlight w:val="none"/>
              </w:rPr>
              <w:t>投标人</w:t>
            </w:r>
            <w:r>
              <w:rPr>
                <w:rFonts w:ascii="宋体" w:hAnsi="宋体" w:cs="宋体"/>
                <w:color w:val="000000"/>
                <w:szCs w:val="21"/>
                <w:highlight w:val="none"/>
              </w:rPr>
              <w:t>A</w:t>
            </w:r>
          </w:p>
        </w:tc>
        <w:tc>
          <w:tcPr>
            <w:tcW w:w="1701" w:type="dxa"/>
            <w:vAlign w:val="center"/>
          </w:tcPr>
          <w:p w14:paraId="24414847">
            <w:pPr>
              <w:jc w:val="center"/>
              <w:rPr>
                <w:rFonts w:ascii="宋体" w:hAnsi="宋体" w:cs="宋体"/>
                <w:color w:val="000000"/>
                <w:szCs w:val="21"/>
                <w:highlight w:val="none"/>
              </w:rPr>
            </w:pPr>
            <w:r>
              <w:rPr>
                <w:rFonts w:hint="eastAsia" w:ascii="宋体" w:hAnsi="宋体" w:cs="宋体"/>
                <w:color w:val="000000"/>
                <w:szCs w:val="21"/>
                <w:highlight w:val="none"/>
              </w:rPr>
              <w:t>投标人</w:t>
            </w:r>
            <w:r>
              <w:rPr>
                <w:rFonts w:ascii="宋体" w:hAnsi="宋体" w:cs="宋体"/>
                <w:color w:val="000000"/>
                <w:szCs w:val="21"/>
                <w:highlight w:val="none"/>
              </w:rPr>
              <w:t>B</w:t>
            </w:r>
          </w:p>
        </w:tc>
        <w:tc>
          <w:tcPr>
            <w:tcW w:w="1701" w:type="dxa"/>
            <w:vAlign w:val="center"/>
          </w:tcPr>
          <w:p w14:paraId="1C3200F6">
            <w:pPr>
              <w:jc w:val="center"/>
              <w:rPr>
                <w:rFonts w:ascii="宋体" w:hAnsi="宋体" w:cs="宋体"/>
                <w:color w:val="000000"/>
                <w:szCs w:val="21"/>
                <w:highlight w:val="none"/>
              </w:rPr>
            </w:pPr>
            <w:r>
              <w:rPr>
                <w:rFonts w:hint="eastAsia" w:ascii="宋体" w:hAnsi="宋体" w:cs="宋体"/>
                <w:color w:val="000000"/>
                <w:szCs w:val="21"/>
                <w:highlight w:val="none"/>
              </w:rPr>
              <w:t>投标人</w:t>
            </w:r>
            <w:r>
              <w:rPr>
                <w:rFonts w:ascii="宋体" w:hAnsi="宋体" w:cs="宋体"/>
                <w:color w:val="000000"/>
                <w:szCs w:val="21"/>
                <w:highlight w:val="none"/>
              </w:rPr>
              <w:t>C</w:t>
            </w:r>
          </w:p>
        </w:tc>
      </w:tr>
      <w:tr w14:paraId="7FF88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608" w:type="dxa"/>
            <w:vAlign w:val="center"/>
          </w:tcPr>
          <w:p w14:paraId="58092F3C">
            <w:pPr>
              <w:rPr>
                <w:highlight w:val="none"/>
              </w:rPr>
            </w:pPr>
            <w:r>
              <w:rPr>
                <w:rFonts w:hint="eastAsia"/>
                <w:highlight w:val="none"/>
              </w:rPr>
              <w:t>1、供应商应具备《中华人民共和国政府采购法》第二十二条规定的条件；提供以下材料：</w:t>
            </w:r>
          </w:p>
          <w:p w14:paraId="3086B0BD">
            <w:pPr>
              <w:rPr>
                <w:highlight w:val="none"/>
              </w:rPr>
            </w:pPr>
            <w:r>
              <w:rPr>
                <w:rFonts w:hint="eastAsia"/>
                <w:highlight w:val="none"/>
              </w:rPr>
              <w:t>1.1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8FEE989">
            <w:pPr>
              <w:rPr>
                <w:rFonts w:hint="eastAsia" w:eastAsia="宋体" w:cs="Times New Roman"/>
                <w:highlight w:val="none"/>
              </w:rPr>
            </w:pPr>
            <w:r>
              <w:rPr>
                <w:rFonts w:hint="eastAsia" w:eastAsia="宋体" w:cs="Times New Roman"/>
                <w:highlight w:val="none"/>
              </w:rPr>
              <w:t>1.2提供</w:t>
            </w:r>
            <w:r>
              <w:rPr>
                <w:rFonts w:hint="eastAsia" w:eastAsia="宋体" w:cs="Times New Roman"/>
                <w:highlight w:val="none"/>
                <w:lang w:val="en-US" w:eastAsia="zh-CN"/>
              </w:rPr>
              <w:t>2023</w:t>
            </w:r>
            <w:r>
              <w:rPr>
                <w:rFonts w:hint="eastAsia" w:eastAsia="宋体" w:cs="Times New Roman"/>
                <w:highlight w:val="none"/>
              </w:rPr>
              <w:t>年度财务状况报告或财务报表或近期银行出具的资信证明（202</w:t>
            </w:r>
            <w:r>
              <w:rPr>
                <w:rFonts w:hint="eastAsia" w:cs="Times New Roman"/>
                <w:highlight w:val="none"/>
                <w:lang w:val="en-US" w:eastAsia="zh-CN"/>
              </w:rPr>
              <w:t>4</w:t>
            </w:r>
            <w:r>
              <w:rPr>
                <w:rFonts w:hint="eastAsia" w:eastAsia="宋体" w:cs="Times New Roman"/>
                <w:highlight w:val="none"/>
              </w:rPr>
              <w:t>年1月1日之后成立的单位只须提供成立至今的财务报表或基本户银行出具的近期资信证明）材料复印件；</w:t>
            </w:r>
          </w:p>
          <w:p w14:paraId="5BE965EA">
            <w:pPr>
              <w:rPr>
                <w:highlight w:val="none"/>
              </w:rPr>
            </w:pPr>
            <w:r>
              <w:rPr>
                <w:rFonts w:hint="eastAsia"/>
                <w:highlight w:val="none"/>
              </w:rPr>
              <w:t>1.3提供近半年来任一个月依法缴纳税收和社会保障资金的证明材料复印件；如依法免税或不需要缴纳社会保障资金的，应提供相关材料；</w:t>
            </w:r>
          </w:p>
          <w:p w14:paraId="14CA0F12">
            <w:pPr>
              <w:rPr>
                <w:highlight w:val="none"/>
              </w:rPr>
            </w:pPr>
            <w:r>
              <w:rPr>
                <w:rFonts w:hint="eastAsia"/>
                <w:highlight w:val="none"/>
              </w:rPr>
              <w:t>1.4具有建设主管部门颁发的有效的建筑装修装饰工程专业总承包资质贰级（含贰级）以上资质。</w:t>
            </w:r>
          </w:p>
          <w:p w14:paraId="460B245B">
            <w:pPr>
              <w:rPr>
                <w:highlight w:val="none"/>
              </w:rPr>
            </w:pPr>
            <w:r>
              <w:rPr>
                <w:rFonts w:hint="eastAsia"/>
                <w:highlight w:val="none"/>
              </w:rPr>
              <w:t>1.5须持有建设行政主管部门颁发有效的《安全生产许可证》。</w:t>
            </w:r>
          </w:p>
          <w:p w14:paraId="4E07BA2A">
            <w:pPr>
              <w:rPr>
                <w:highlight w:val="none"/>
              </w:rPr>
            </w:pPr>
            <w:r>
              <w:rPr>
                <w:rFonts w:hint="eastAsia"/>
                <w:highlight w:val="none"/>
              </w:rPr>
              <w:t>1.6提供履行合同所必需的设备和专业技术能力的证明材料；（提供《资格声明函》）；</w:t>
            </w:r>
          </w:p>
          <w:p w14:paraId="0E673D47">
            <w:pPr>
              <w:rPr>
                <w:highlight w:val="none"/>
              </w:rPr>
            </w:pPr>
            <w:r>
              <w:rPr>
                <w:rFonts w:hint="eastAsia"/>
                <w:highlight w:val="none"/>
              </w:rPr>
              <w:t>1.7提供参加政府</w:t>
            </w:r>
            <w:r>
              <w:rPr>
                <w:rFonts w:hint="eastAsia"/>
                <w:highlight w:val="none"/>
                <w:lang w:eastAsia="zh-CN"/>
              </w:rPr>
              <w:t>、企业</w:t>
            </w:r>
            <w:r>
              <w:rPr>
                <w:rFonts w:hint="eastAsia"/>
                <w:highlight w:val="none"/>
              </w:rPr>
              <w:t>采购活动前3年内在经营活动中没有重大违法记录的书面声明；（提供《资格声明函》）。</w:t>
            </w:r>
          </w:p>
        </w:tc>
        <w:tc>
          <w:tcPr>
            <w:tcW w:w="1521" w:type="dxa"/>
            <w:vAlign w:val="center"/>
          </w:tcPr>
          <w:p w14:paraId="6BF77AB2">
            <w:pPr>
              <w:rPr>
                <w:rFonts w:ascii="宋体" w:hAnsi="宋体"/>
                <w:szCs w:val="21"/>
                <w:highlight w:val="none"/>
              </w:rPr>
            </w:pPr>
          </w:p>
        </w:tc>
        <w:tc>
          <w:tcPr>
            <w:tcW w:w="1701" w:type="dxa"/>
            <w:vAlign w:val="center"/>
          </w:tcPr>
          <w:p w14:paraId="27CB730C">
            <w:pPr>
              <w:rPr>
                <w:rFonts w:ascii="宋体" w:hAnsi="宋体"/>
                <w:szCs w:val="21"/>
                <w:highlight w:val="none"/>
              </w:rPr>
            </w:pPr>
          </w:p>
        </w:tc>
        <w:tc>
          <w:tcPr>
            <w:tcW w:w="1701" w:type="dxa"/>
            <w:vAlign w:val="center"/>
          </w:tcPr>
          <w:p w14:paraId="326C6913">
            <w:pPr>
              <w:rPr>
                <w:rFonts w:ascii="宋体" w:hAnsi="宋体"/>
                <w:szCs w:val="21"/>
                <w:highlight w:val="none"/>
              </w:rPr>
            </w:pPr>
          </w:p>
        </w:tc>
      </w:tr>
      <w:tr w14:paraId="79C7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4608" w:type="dxa"/>
            <w:vAlign w:val="center"/>
          </w:tcPr>
          <w:p w14:paraId="0A95D1EB">
            <w:pPr>
              <w:numPr>
                <w:ilvl w:val="255"/>
                <w:numId w:val="0"/>
              </w:numPr>
              <w:snapToGrid w:val="0"/>
              <w:rPr>
                <w:rFonts w:ascii="宋体" w:hAnsi="宋体"/>
                <w:szCs w:val="21"/>
                <w:highlight w:val="none"/>
              </w:rPr>
            </w:pPr>
            <w:r>
              <w:rPr>
                <w:rFonts w:hint="eastAsia" w:ascii="宋体" w:hAnsi="宋体" w:cs="Arial"/>
                <w:szCs w:val="21"/>
                <w:highlight w:val="none"/>
              </w:rPr>
              <w:t>2、</w:t>
            </w:r>
            <w:r>
              <w:rPr>
                <w:rFonts w:hint="eastAsia" w:hAnsi="宋体" w:cs="宋体"/>
                <w:bCs/>
                <w:highlight w:val="none"/>
              </w:rPr>
              <w:t>为采购项目提供整体设计、规范编制或者项目管理、监理、检测等服务的供应商，不得再参加同一采购项目的其他采购活动</w:t>
            </w:r>
            <w:r>
              <w:rPr>
                <w:rFonts w:hint="eastAsia" w:ascii="宋体" w:hAnsi="宋体"/>
                <w:bCs/>
                <w:highlight w:val="none"/>
              </w:rPr>
              <w:t>的书面声明。</w:t>
            </w:r>
            <w:r>
              <w:rPr>
                <w:rFonts w:hint="eastAsia" w:ascii="宋体" w:hAnsi="宋体"/>
                <w:bCs/>
                <w:szCs w:val="20"/>
                <w:highlight w:val="none"/>
              </w:rPr>
              <w:t>（提供《</w:t>
            </w:r>
            <w:r>
              <w:rPr>
                <w:rFonts w:hint="eastAsia" w:ascii="宋体" w:hAnsi="宋体"/>
                <w:highlight w:val="none"/>
              </w:rPr>
              <w:t>承诺函</w:t>
            </w:r>
            <w:r>
              <w:rPr>
                <w:rFonts w:hint="eastAsia" w:ascii="宋体" w:hAnsi="宋体"/>
                <w:bCs/>
                <w:szCs w:val="20"/>
                <w:highlight w:val="none"/>
              </w:rPr>
              <w:t>》）</w:t>
            </w:r>
          </w:p>
        </w:tc>
        <w:tc>
          <w:tcPr>
            <w:tcW w:w="1521" w:type="dxa"/>
            <w:vAlign w:val="center"/>
          </w:tcPr>
          <w:p w14:paraId="4FA5236E">
            <w:pPr>
              <w:rPr>
                <w:rFonts w:ascii="宋体" w:hAnsi="宋体"/>
                <w:szCs w:val="21"/>
                <w:highlight w:val="none"/>
              </w:rPr>
            </w:pPr>
          </w:p>
        </w:tc>
        <w:tc>
          <w:tcPr>
            <w:tcW w:w="1701" w:type="dxa"/>
            <w:vAlign w:val="center"/>
          </w:tcPr>
          <w:p w14:paraId="45ADF426">
            <w:pPr>
              <w:rPr>
                <w:rFonts w:ascii="宋体" w:hAnsi="宋体"/>
                <w:szCs w:val="21"/>
                <w:highlight w:val="none"/>
              </w:rPr>
            </w:pPr>
          </w:p>
        </w:tc>
        <w:tc>
          <w:tcPr>
            <w:tcW w:w="1701" w:type="dxa"/>
            <w:vAlign w:val="center"/>
          </w:tcPr>
          <w:p w14:paraId="1B2F12E6">
            <w:pPr>
              <w:rPr>
                <w:rFonts w:ascii="宋体" w:hAnsi="宋体"/>
                <w:szCs w:val="21"/>
                <w:highlight w:val="none"/>
              </w:rPr>
            </w:pPr>
          </w:p>
        </w:tc>
      </w:tr>
      <w:tr w14:paraId="7A56E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4608" w:type="dxa"/>
            <w:vAlign w:val="center"/>
          </w:tcPr>
          <w:p w14:paraId="0200C969">
            <w:pPr>
              <w:numPr>
                <w:ilvl w:val="255"/>
                <w:numId w:val="0"/>
              </w:numPr>
              <w:snapToGrid w:val="0"/>
              <w:rPr>
                <w:rFonts w:ascii="宋体" w:hAnsi="宋体" w:cs="Arial"/>
                <w:szCs w:val="21"/>
                <w:highlight w:val="none"/>
              </w:rPr>
            </w:pPr>
            <w:r>
              <w:rPr>
                <w:rFonts w:hint="eastAsia" w:ascii="宋体" w:hAnsi="宋体" w:cs="Arial"/>
                <w:szCs w:val="21"/>
                <w:highlight w:val="none"/>
              </w:rPr>
              <w:t>3、</w:t>
            </w:r>
            <w:r>
              <w:rPr>
                <w:rFonts w:hint="eastAsia" w:ascii="宋体" w:hAnsi="宋体"/>
                <w:highlight w:val="none"/>
              </w:rPr>
              <w:t>单位负责人为同一人或者存在直接控股、管理关系的不同供应商，</w:t>
            </w:r>
            <w:r>
              <w:rPr>
                <w:rFonts w:hint="eastAsia"/>
                <w:bCs/>
                <w:highlight w:val="none"/>
              </w:rPr>
              <w:t>不得参加同一合同项下的政府</w:t>
            </w:r>
            <w:r>
              <w:rPr>
                <w:rFonts w:hint="eastAsia"/>
                <w:bCs/>
                <w:highlight w:val="none"/>
                <w:lang w:eastAsia="zh-CN"/>
              </w:rPr>
              <w:t>、企业</w:t>
            </w:r>
            <w:r>
              <w:rPr>
                <w:rFonts w:hint="eastAsia" w:hAnsi="宋体" w:cs="宋体"/>
                <w:bCs/>
                <w:highlight w:val="none"/>
              </w:rPr>
              <w:t>采购活动。（提供《承诺函》）</w:t>
            </w:r>
          </w:p>
        </w:tc>
        <w:tc>
          <w:tcPr>
            <w:tcW w:w="1521" w:type="dxa"/>
            <w:vAlign w:val="center"/>
          </w:tcPr>
          <w:p w14:paraId="3F167ACE">
            <w:pPr>
              <w:rPr>
                <w:rFonts w:ascii="宋体" w:hAnsi="宋体"/>
                <w:szCs w:val="21"/>
                <w:highlight w:val="none"/>
              </w:rPr>
            </w:pPr>
          </w:p>
        </w:tc>
        <w:tc>
          <w:tcPr>
            <w:tcW w:w="1701" w:type="dxa"/>
            <w:vAlign w:val="center"/>
          </w:tcPr>
          <w:p w14:paraId="7C781EDA">
            <w:pPr>
              <w:rPr>
                <w:rFonts w:ascii="宋体" w:hAnsi="宋体"/>
                <w:szCs w:val="21"/>
                <w:highlight w:val="none"/>
              </w:rPr>
            </w:pPr>
          </w:p>
        </w:tc>
        <w:tc>
          <w:tcPr>
            <w:tcW w:w="1701" w:type="dxa"/>
            <w:vAlign w:val="center"/>
          </w:tcPr>
          <w:p w14:paraId="4199FFA3">
            <w:pPr>
              <w:rPr>
                <w:rFonts w:ascii="宋体" w:hAnsi="宋体"/>
                <w:szCs w:val="21"/>
                <w:highlight w:val="none"/>
              </w:rPr>
            </w:pPr>
          </w:p>
        </w:tc>
      </w:tr>
      <w:tr w14:paraId="0DC2B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4608" w:type="dxa"/>
            <w:vAlign w:val="center"/>
          </w:tcPr>
          <w:p w14:paraId="09A52D87">
            <w:pPr>
              <w:numPr>
                <w:ilvl w:val="255"/>
                <w:numId w:val="0"/>
              </w:numPr>
              <w:snapToGrid w:val="0"/>
              <w:rPr>
                <w:rFonts w:ascii="宋体" w:hAnsi="宋体" w:cs="Arial"/>
                <w:szCs w:val="21"/>
                <w:highlight w:val="none"/>
              </w:rPr>
            </w:pPr>
            <w:r>
              <w:rPr>
                <w:rFonts w:hint="eastAsia" w:ascii="宋体" w:hAnsi="宋体" w:cs="Arial"/>
                <w:szCs w:val="21"/>
                <w:highlight w:val="none"/>
              </w:rPr>
              <w:t>4、</w:t>
            </w:r>
            <w:r>
              <w:rPr>
                <w:rFonts w:hint="eastAsia" w:hAnsi="宋体" w:cs="宋体"/>
                <w:bCs/>
                <w:highlight w:val="none"/>
              </w:rPr>
              <w:t>在提交投标文件截止时间前响应供应商未被列入“信用中国”网站(www.creditchina.gov.cn) 以下任一记录名单之一：①失信被执行人；②重大税收违法案件当事人名单；③政府采购严重违法失信行为。同时，不处于中国政府采购网(www.ccgp.gov.cn)“政府采购严重违法失信行为信息记录”中的禁止参加政府采购活动期间。【说明：1）、由评审小组于递交投标文件截止日在“信用中国”网站（www.creditchina.gov.cn）及中国政府采购网(www.ccgp.gov.cn)查询结果为准。2）、采购代理机构同时对信用信息查询记录和证据截图或下载存档。】</w:t>
            </w:r>
          </w:p>
        </w:tc>
        <w:tc>
          <w:tcPr>
            <w:tcW w:w="1521" w:type="dxa"/>
            <w:vAlign w:val="center"/>
          </w:tcPr>
          <w:p w14:paraId="3CCDB92A">
            <w:pPr>
              <w:rPr>
                <w:rFonts w:ascii="宋体" w:hAnsi="宋体"/>
                <w:szCs w:val="21"/>
                <w:highlight w:val="none"/>
              </w:rPr>
            </w:pPr>
          </w:p>
        </w:tc>
        <w:tc>
          <w:tcPr>
            <w:tcW w:w="1701" w:type="dxa"/>
            <w:vAlign w:val="center"/>
          </w:tcPr>
          <w:p w14:paraId="3EE7A352">
            <w:pPr>
              <w:rPr>
                <w:rFonts w:ascii="宋体" w:hAnsi="宋体"/>
                <w:szCs w:val="21"/>
                <w:highlight w:val="none"/>
              </w:rPr>
            </w:pPr>
          </w:p>
        </w:tc>
        <w:tc>
          <w:tcPr>
            <w:tcW w:w="1701" w:type="dxa"/>
            <w:vAlign w:val="center"/>
          </w:tcPr>
          <w:p w14:paraId="6B311719">
            <w:pPr>
              <w:rPr>
                <w:rFonts w:ascii="宋体" w:hAnsi="宋体"/>
                <w:szCs w:val="21"/>
                <w:highlight w:val="none"/>
              </w:rPr>
            </w:pPr>
          </w:p>
        </w:tc>
      </w:tr>
      <w:tr w14:paraId="4FBE8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4608" w:type="dxa"/>
            <w:vAlign w:val="center"/>
          </w:tcPr>
          <w:p w14:paraId="493AE4FA">
            <w:pPr>
              <w:rPr>
                <w:rFonts w:ascii="宋体" w:hAnsi="宋体"/>
                <w:szCs w:val="21"/>
                <w:highlight w:val="none"/>
              </w:rPr>
            </w:pPr>
            <w:r>
              <w:rPr>
                <w:rFonts w:hint="eastAsia" w:ascii="宋体" w:hAnsi="宋体" w:cs="Arial"/>
                <w:szCs w:val="21"/>
                <w:highlight w:val="none"/>
                <w:lang w:val="en-US" w:eastAsia="zh-CN"/>
              </w:rPr>
              <w:t>5</w:t>
            </w:r>
            <w:r>
              <w:rPr>
                <w:rFonts w:hint="eastAsia" w:ascii="宋体" w:hAnsi="宋体" w:cs="Arial"/>
                <w:szCs w:val="21"/>
                <w:highlight w:val="none"/>
              </w:rPr>
              <w:t>、</w:t>
            </w:r>
            <w:r>
              <w:rPr>
                <w:rFonts w:ascii="宋体" w:hAnsi="宋体" w:cs="Arial"/>
                <w:szCs w:val="21"/>
                <w:highlight w:val="none"/>
              </w:rPr>
              <w:t>已登记报名并获取本项目采购文件</w:t>
            </w:r>
            <w:r>
              <w:rPr>
                <w:rFonts w:hint="eastAsia" w:ascii="宋体" w:hAnsi="宋体" w:cs="Arial"/>
                <w:szCs w:val="21"/>
                <w:highlight w:val="none"/>
              </w:rPr>
              <w:t>（提供购买采购文件的收据或发票复印件）</w:t>
            </w:r>
            <w:r>
              <w:rPr>
                <w:rFonts w:ascii="宋体" w:hAnsi="宋体" w:cs="Arial"/>
                <w:szCs w:val="21"/>
                <w:highlight w:val="none"/>
              </w:rPr>
              <w:t>。</w:t>
            </w:r>
          </w:p>
        </w:tc>
        <w:tc>
          <w:tcPr>
            <w:tcW w:w="1521" w:type="dxa"/>
            <w:vAlign w:val="center"/>
          </w:tcPr>
          <w:p w14:paraId="047C3E92">
            <w:pPr>
              <w:rPr>
                <w:rFonts w:ascii="宋体" w:hAnsi="宋体"/>
                <w:szCs w:val="21"/>
                <w:highlight w:val="none"/>
              </w:rPr>
            </w:pPr>
          </w:p>
        </w:tc>
        <w:tc>
          <w:tcPr>
            <w:tcW w:w="1701" w:type="dxa"/>
            <w:vAlign w:val="center"/>
          </w:tcPr>
          <w:p w14:paraId="19814A95">
            <w:pPr>
              <w:rPr>
                <w:rFonts w:ascii="宋体" w:hAnsi="宋体"/>
                <w:szCs w:val="21"/>
                <w:highlight w:val="none"/>
              </w:rPr>
            </w:pPr>
          </w:p>
        </w:tc>
        <w:tc>
          <w:tcPr>
            <w:tcW w:w="1701" w:type="dxa"/>
            <w:vAlign w:val="center"/>
          </w:tcPr>
          <w:p w14:paraId="6DF7D53F">
            <w:pPr>
              <w:rPr>
                <w:rFonts w:ascii="宋体" w:hAnsi="宋体"/>
                <w:szCs w:val="21"/>
                <w:highlight w:val="none"/>
              </w:rPr>
            </w:pPr>
          </w:p>
        </w:tc>
      </w:tr>
      <w:tr w14:paraId="0B9C2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9" w:hRule="atLeast"/>
        </w:trPr>
        <w:tc>
          <w:tcPr>
            <w:tcW w:w="4608" w:type="dxa"/>
            <w:vAlign w:val="center"/>
          </w:tcPr>
          <w:p w14:paraId="0EE88607">
            <w:pPr>
              <w:rPr>
                <w:rFonts w:ascii="宋体" w:hAnsi="宋体" w:cs="Arial"/>
                <w:szCs w:val="21"/>
                <w:highlight w:val="none"/>
              </w:rPr>
            </w:pPr>
            <w:r>
              <w:rPr>
                <w:rFonts w:hint="eastAsia" w:ascii="宋体" w:hAnsi="宋体" w:cs="Arial"/>
                <w:szCs w:val="21"/>
                <w:highlight w:val="none"/>
                <w:lang w:val="en-US" w:eastAsia="zh-CN"/>
              </w:rPr>
              <w:t>6</w:t>
            </w:r>
            <w:r>
              <w:rPr>
                <w:rFonts w:hint="eastAsia" w:ascii="宋体" w:hAnsi="宋体" w:cs="Arial"/>
                <w:szCs w:val="21"/>
                <w:highlight w:val="none"/>
              </w:rPr>
              <w:t>、本项目不接受联合体投标</w:t>
            </w:r>
          </w:p>
        </w:tc>
        <w:tc>
          <w:tcPr>
            <w:tcW w:w="1521" w:type="dxa"/>
            <w:vAlign w:val="center"/>
          </w:tcPr>
          <w:p w14:paraId="5552CD6C">
            <w:pPr>
              <w:rPr>
                <w:rFonts w:ascii="宋体" w:hAnsi="宋体"/>
                <w:szCs w:val="21"/>
                <w:highlight w:val="none"/>
              </w:rPr>
            </w:pPr>
          </w:p>
        </w:tc>
        <w:tc>
          <w:tcPr>
            <w:tcW w:w="1701" w:type="dxa"/>
            <w:vAlign w:val="center"/>
          </w:tcPr>
          <w:p w14:paraId="64269DE6">
            <w:pPr>
              <w:rPr>
                <w:rFonts w:ascii="宋体" w:hAnsi="宋体"/>
                <w:szCs w:val="21"/>
                <w:highlight w:val="none"/>
              </w:rPr>
            </w:pPr>
          </w:p>
        </w:tc>
        <w:tc>
          <w:tcPr>
            <w:tcW w:w="1701" w:type="dxa"/>
            <w:vAlign w:val="center"/>
          </w:tcPr>
          <w:p w14:paraId="5B27CEB9">
            <w:pPr>
              <w:rPr>
                <w:rFonts w:ascii="宋体" w:hAnsi="宋体"/>
                <w:szCs w:val="21"/>
                <w:highlight w:val="none"/>
              </w:rPr>
            </w:pPr>
          </w:p>
        </w:tc>
      </w:tr>
      <w:tr w14:paraId="1D573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rPr>
        <w:tc>
          <w:tcPr>
            <w:tcW w:w="4608" w:type="dxa"/>
            <w:vAlign w:val="center"/>
          </w:tcPr>
          <w:p w14:paraId="1EDF2BEC">
            <w:pPr>
              <w:rPr>
                <w:rFonts w:ascii="宋体" w:hAnsi="宋体" w:cs="Arial"/>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、按招标文件要求缴纳投标保证金的；</w:t>
            </w:r>
          </w:p>
        </w:tc>
        <w:tc>
          <w:tcPr>
            <w:tcW w:w="1521" w:type="dxa"/>
            <w:vAlign w:val="center"/>
          </w:tcPr>
          <w:p w14:paraId="4C244EE7">
            <w:pPr>
              <w:rPr>
                <w:rFonts w:ascii="宋体" w:hAnsi="宋体"/>
                <w:szCs w:val="21"/>
                <w:highlight w:val="none"/>
              </w:rPr>
            </w:pPr>
          </w:p>
        </w:tc>
        <w:tc>
          <w:tcPr>
            <w:tcW w:w="1701" w:type="dxa"/>
            <w:vAlign w:val="center"/>
          </w:tcPr>
          <w:p w14:paraId="325770F5">
            <w:pPr>
              <w:rPr>
                <w:rFonts w:ascii="宋体" w:hAnsi="宋体"/>
                <w:szCs w:val="21"/>
                <w:highlight w:val="none"/>
              </w:rPr>
            </w:pPr>
          </w:p>
        </w:tc>
        <w:tc>
          <w:tcPr>
            <w:tcW w:w="1701" w:type="dxa"/>
            <w:vAlign w:val="center"/>
          </w:tcPr>
          <w:p w14:paraId="239CC423">
            <w:pPr>
              <w:rPr>
                <w:rFonts w:ascii="宋体" w:hAnsi="宋体"/>
                <w:szCs w:val="21"/>
                <w:highlight w:val="none"/>
              </w:rPr>
            </w:pPr>
          </w:p>
        </w:tc>
      </w:tr>
      <w:tr w14:paraId="0D6CB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608" w:type="dxa"/>
            <w:vAlign w:val="center"/>
          </w:tcPr>
          <w:p w14:paraId="7840CCD7">
            <w:pPr>
              <w:jc w:val="center"/>
              <w:rPr>
                <w:rFonts w:ascii="宋体" w:hAnsi="宋体"/>
                <w:szCs w:val="21"/>
                <w:highlight w:val="none"/>
              </w:rPr>
            </w:pPr>
            <w:r>
              <w:rPr>
                <w:rFonts w:hint="eastAsia" w:ascii="宋体" w:hAnsi="宋体"/>
                <w:szCs w:val="21"/>
                <w:highlight w:val="none"/>
              </w:rPr>
              <w:t>结论</w:t>
            </w:r>
          </w:p>
        </w:tc>
        <w:tc>
          <w:tcPr>
            <w:tcW w:w="1521" w:type="dxa"/>
            <w:vAlign w:val="center"/>
          </w:tcPr>
          <w:p w14:paraId="4FE85C14">
            <w:pPr>
              <w:rPr>
                <w:rFonts w:ascii="宋体" w:hAnsi="宋体"/>
                <w:szCs w:val="21"/>
                <w:highlight w:val="none"/>
              </w:rPr>
            </w:pPr>
          </w:p>
        </w:tc>
        <w:tc>
          <w:tcPr>
            <w:tcW w:w="1701" w:type="dxa"/>
            <w:vAlign w:val="center"/>
          </w:tcPr>
          <w:p w14:paraId="2055F303">
            <w:pPr>
              <w:rPr>
                <w:rFonts w:ascii="宋体" w:hAnsi="宋体"/>
                <w:szCs w:val="21"/>
                <w:highlight w:val="none"/>
              </w:rPr>
            </w:pPr>
          </w:p>
        </w:tc>
        <w:tc>
          <w:tcPr>
            <w:tcW w:w="1701" w:type="dxa"/>
            <w:vAlign w:val="center"/>
          </w:tcPr>
          <w:p w14:paraId="7BB9F4FD">
            <w:pPr>
              <w:rPr>
                <w:rFonts w:ascii="宋体" w:hAnsi="宋体"/>
                <w:szCs w:val="21"/>
                <w:highlight w:val="none"/>
              </w:rPr>
            </w:pPr>
          </w:p>
        </w:tc>
      </w:tr>
    </w:tbl>
    <w:p w14:paraId="52D70B79">
      <w:pPr>
        <w:pStyle w:val="4"/>
        <w:spacing w:line="240" w:lineRule="auto"/>
        <w:rPr>
          <w:color w:val="000000"/>
          <w:highlight w:val="none"/>
        </w:rPr>
      </w:pPr>
      <w:r>
        <w:rPr>
          <w:rFonts w:hint="eastAsia"/>
          <w:color w:val="000000"/>
          <w:highlight w:val="none"/>
        </w:rPr>
        <w:br w:type="page"/>
      </w:r>
      <w:r>
        <w:rPr>
          <w:rFonts w:hint="eastAsia"/>
          <w:color w:val="000000"/>
          <w:highlight w:val="none"/>
        </w:rPr>
        <w:t>附表二             资格性、符合性审查表</w:t>
      </w:r>
      <w:bookmarkEnd w:id="1138"/>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8"/>
        <w:gridCol w:w="1521"/>
        <w:gridCol w:w="1701"/>
        <w:gridCol w:w="1701"/>
      </w:tblGrid>
      <w:tr w14:paraId="30829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08" w:type="dxa"/>
            <w:vMerge w:val="restart"/>
            <w:vAlign w:val="center"/>
          </w:tcPr>
          <w:p w14:paraId="4C228A5D">
            <w:pPr>
              <w:jc w:val="center"/>
              <w:rPr>
                <w:rFonts w:ascii="宋体" w:hAnsi="宋体"/>
                <w:color w:val="000000"/>
                <w:szCs w:val="21"/>
                <w:highlight w:val="none"/>
              </w:rPr>
            </w:pPr>
            <w:r>
              <w:rPr>
                <w:rFonts w:hint="eastAsia" w:ascii="宋体" w:hAnsi="宋体"/>
                <w:color w:val="000000"/>
                <w:szCs w:val="21"/>
                <w:highlight w:val="none"/>
              </w:rPr>
              <w:t>评审内容</w:t>
            </w:r>
          </w:p>
        </w:tc>
        <w:tc>
          <w:tcPr>
            <w:tcW w:w="4923" w:type="dxa"/>
            <w:gridSpan w:val="3"/>
            <w:vAlign w:val="center"/>
          </w:tcPr>
          <w:p w14:paraId="74D98DFD">
            <w:pPr>
              <w:jc w:val="center"/>
              <w:rPr>
                <w:rFonts w:ascii="宋体" w:hAnsi="宋体"/>
                <w:color w:val="000000"/>
                <w:szCs w:val="21"/>
                <w:highlight w:val="none"/>
              </w:rPr>
            </w:pPr>
            <w:r>
              <w:rPr>
                <w:rFonts w:hint="eastAsia" w:ascii="宋体" w:hAnsi="宋体"/>
                <w:color w:val="000000"/>
                <w:szCs w:val="21"/>
                <w:highlight w:val="none"/>
              </w:rPr>
              <w:t>投标人名称</w:t>
            </w:r>
          </w:p>
        </w:tc>
      </w:tr>
      <w:tr w14:paraId="4668C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08" w:type="dxa"/>
            <w:vMerge w:val="continue"/>
            <w:vAlign w:val="center"/>
          </w:tcPr>
          <w:p w14:paraId="0D981F97">
            <w:pPr>
              <w:rPr>
                <w:rFonts w:ascii="宋体" w:hAnsi="宋体"/>
                <w:color w:val="000000"/>
                <w:szCs w:val="21"/>
                <w:highlight w:val="none"/>
              </w:rPr>
            </w:pPr>
          </w:p>
        </w:tc>
        <w:tc>
          <w:tcPr>
            <w:tcW w:w="1521" w:type="dxa"/>
            <w:vAlign w:val="center"/>
          </w:tcPr>
          <w:p w14:paraId="7DD94B46">
            <w:pPr>
              <w:jc w:val="center"/>
              <w:rPr>
                <w:rFonts w:ascii="宋体" w:hAnsi="宋体" w:cs="宋体"/>
                <w:color w:val="000000"/>
                <w:szCs w:val="21"/>
                <w:highlight w:val="none"/>
              </w:rPr>
            </w:pPr>
            <w:r>
              <w:rPr>
                <w:rFonts w:hint="eastAsia" w:ascii="宋体" w:hAnsi="宋体" w:cs="宋体"/>
                <w:color w:val="000000"/>
                <w:szCs w:val="21"/>
                <w:highlight w:val="none"/>
              </w:rPr>
              <w:t>投标人</w:t>
            </w:r>
            <w:r>
              <w:rPr>
                <w:rFonts w:ascii="宋体" w:hAnsi="宋体" w:cs="宋体"/>
                <w:color w:val="000000"/>
                <w:szCs w:val="21"/>
                <w:highlight w:val="none"/>
              </w:rPr>
              <w:t>A</w:t>
            </w:r>
          </w:p>
        </w:tc>
        <w:tc>
          <w:tcPr>
            <w:tcW w:w="1701" w:type="dxa"/>
            <w:vAlign w:val="center"/>
          </w:tcPr>
          <w:p w14:paraId="6A52B967">
            <w:pPr>
              <w:jc w:val="center"/>
              <w:rPr>
                <w:rFonts w:ascii="宋体" w:hAnsi="宋体" w:cs="宋体"/>
                <w:color w:val="000000"/>
                <w:szCs w:val="21"/>
                <w:highlight w:val="none"/>
              </w:rPr>
            </w:pPr>
            <w:r>
              <w:rPr>
                <w:rFonts w:hint="eastAsia" w:ascii="宋体" w:hAnsi="宋体" w:cs="宋体"/>
                <w:color w:val="000000"/>
                <w:szCs w:val="21"/>
                <w:highlight w:val="none"/>
              </w:rPr>
              <w:t>投标人</w:t>
            </w:r>
            <w:r>
              <w:rPr>
                <w:rFonts w:ascii="宋体" w:hAnsi="宋体" w:cs="宋体"/>
                <w:color w:val="000000"/>
                <w:szCs w:val="21"/>
                <w:highlight w:val="none"/>
              </w:rPr>
              <w:t>B</w:t>
            </w:r>
          </w:p>
        </w:tc>
        <w:tc>
          <w:tcPr>
            <w:tcW w:w="1701" w:type="dxa"/>
            <w:vAlign w:val="center"/>
          </w:tcPr>
          <w:p w14:paraId="5E4C2CBE">
            <w:pPr>
              <w:jc w:val="center"/>
              <w:rPr>
                <w:rFonts w:ascii="宋体" w:hAnsi="宋体" w:cs="宋体"/>
                <w:color w:val="000000"/>
                <w:szCs w:val="21"/>
                <w:highlight w:val="none"/>
              </w:rPr>
            </w:pPr>
            <w:r>
              <w:rPr>
                <w:rFonts w:hint="eastAsia" w:ascii="宋体" w:hAnsi="宋体" w:cs="宋体"/>
                <w:color w:val="000000"/>
                <w:szCs w:val="21"/>
                <w:highlight w:val="none"/>
              </w:rPr>
              <w:t>投标人</w:t>
            </w:r>
            <w:r>
              <w:rPr>
                <w:rFonts w:ascii="宋体" w:hAnsi="宋体" w:cs="宋体"/>
                <w:color w:val="000000"/>
                <w:szCs w:val="21"/>
                <w:highlight w:val="none"/>
              </w:rPr>
              <w:t>C</w:t>
            </w:r>
          </w:p>
        </w:tc>
      </w:tr>
      <w:tr w14:paraId="4D177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4608" w:type="dxa"/>
            <w:vAlign w:val="center"/>
          </w:tcPr>
          <w:p w14:paraId="6D87E0BB">
            <w:pPr>
              <w:rPr>
                <w:rFonts w:ascii="宋体" w:hAnsi="宋体"/>
                <w:color w:val="000000"/>
                <w:szCs w:val="21"/>
                <w:highlight w:val="none"/>
              </w:rPr>
            </w:pPr>
            <w:r>
              <w:rPr>
                <w:rFonts w:hint="eastAsia" w:ascii="宋体" w:hAnsi="宋体"/>
                <w:color w:val="000000"/>
                <w:szCs w:val="21"/>
                <w:highlight w:val="none"/>
              </w:rPr>
              <w:t>具备招标文件中规定投标人资格要求</w:t>
            </w:r>
          </w:p>
        </w:tc>
        <w:tc>
          <w:tcPr>
            <w:tcW w:w="1521" w:type="dxa"/>
            <w:vAlign w:val="center"/>
          </w:tcPr>
          <w:p w14:paraId="6C24A3C6">
            <w:pPr>
              <w:rPr>
                <w:rFonts w:ascii="宋体" w:hAnsi="宋体"/>
                <w:color w:val="000000"/>
                <w:szCs w:val="21"/>
                <w:highlight w:val="none"/>
              </w:rPr>
            </w:pPr>
          </w:p>
        </w:tc>
        <w:tc>
          <w:tcPr>
            <w:tcW w:w="1701" w:type="dxa"/>
            <w:vAlign w:val="center"/>
          </w:tcPr>
          <w:p w14:paraId="264D3C0D">
            <w:pPr>
              <w:rPr>
                <w:rFonts w:ascii="宋体" w:hAnsi="宋体"/>
                <w:color w:val="000000"/>
                <w:szCs w:val="21"/>
                <w:highlight w:val="none"/>
              </w:rPr>
            </w:pPr>
          </w:p>
        </w:tc>
        <w:tc>
          <w:tcPr>
            <w:tcW w:w="1701" w:type="dxa"/>
            <w:vAlign w:val="center"/>
          </w:tcPr>
          <w:p w14:paraId="517CE487">
            <w:pPr>
              <w:rPr>
                <w:rFonts w:ascii="宋体" w:hAnsi="宋体"/>
                <w:color w:val="000000"/>
                <w:szCs w:val="21"/>
                <w:highlight w:val="none"/>
              </w:rPr>
            </w:pPr>
          </w:p>
        </w:tc>
      </w:tr>
      <w:tr w14:paraId="128A1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608" w:type="dxa"/>
            <w:vAlign w:val="center"/>
          </w:tcPr>
          <w:p w14:paraId="27FE5769">
            <w:pPr>
              <w:rPr>
                <w:rFonts w:ascii="宋体" w:hAnsi="宋体"/>
                <w:color w:val="000000"/>
                <w:szCs w:val="21"/>
                <w:highlight w:val="none"/>
              </w:rPr>
            </w:pPr>
            <w:r>
              <w:rPr>
                <w:rFonts w:hint="eastAsia" w:ascii="宋体" w:hAnsi="宋体"/>
                <w:color w:val="000000"/>
                <w:szCs w:val="21"/>
                <w:highlight w:val="none"/>
              </w:rPr>
              <w:t>投标报价唯一且不高于采购人需求规定的最高限价</w:t>
            </w:r>
          </w:p>
        </w:tc>
        <w:tc>
          <w:tcPr>
            <w:tcW w:w="1521" w:type="dxa"/>
            <w:vAlign w:val="center"/>
          </w:tcPr>
          <w:p w14:paraId="4230D547">
            <w:pPr>
              <w:rPr>
                <w:rFonts w:ascii="宋体" w:hAnsi="宋体"/>
                <w:color w:val="000000"/>
                <w:szCs w:val="21"/>
                <w:highlight w:val="none"/>
              </w:rPr>
            </w:pPr>
          </w:p>
        </w:tc>
        <w:tc>
          <w:tcPr>
            <w:tcW w:w="1701" w:type="dxa"/>
            <w:vAlign w:val="center"/>
          </w:tcPr>
          <w:p w14:paraId="3E71569E">
            <w:pPr>
              <w:rPr>
                <w:rFonts w:ascii="宋体" w:hAnsi="宋体"/>
                <w:color w:val="000000"/>
                <w:szCs w:val="21"/>
                <w:highlight w:val="none"/>
              </w:rPr>
            </w:pPr>
          </w:p>
        </w:tc>
        <w:tc>
          <w:tcPr>
            <w:tcW w:w="1701" w:type="dxa"/>
            <w:vAlign w:val="center"/>
          </w:tcPr>
          <w:p w14:paraId="455F4412">
            <w:pPr>
              <w:rPr>
                <w:rFonts w:ascii="宋体" w:hAnsi="宋体"/>
                <w:color w:val="000000"/>
                <w:szCs w:val="21"/>
                <w:highlight w:val="none"/>
              </w:rPr>
            </w:pPr>
          </w:p>
        </w:tc>
      </w:tr>
      <w:tr w14:paraId="3AA37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608" w:type="dxa"/>
            <w:vAlign w:val="center"/>
          </w:tcPr>
          <w:p w14:paraId="1937C961">
            <w:pPr>
              <w:rPr>
                <w:rFonts w:ascii="宋体" w:hAnsi="宋体"/>
                <w:color w:val="000000"/>
                <w:szCs w:val="21"/>
                <w:highlight w:val="none"/>
              </w:rPr>
            </w:pPr>
            <w:r>
              <w:rPr>
                <w:rFonts w:hint="eastAsia" w:ascii="宋体" w:hAnsi="宋体"/>
                <w:color w:val="000000"/>
                <w:szCs w:val="21"/>
                <w:highlight w:val="none"/>
              </w:rPr>
              <w:t>已按招标文件规定提交投标保证金</w:t>
            </w:r>
          </w:p>
        </w:tc>
        <w:tc>
          <w:tcPr>
            <w:tcW w:w="1521" w:type="dxa"/>
            <w:vAlign w:val="center"/>
          </w:tcPr>
          <w:p w14:paraId="411A064E">
            <w:pPr>
              <w:rPr>
                <w:rFonts w:ascii="宋体" w:hAnsi="宋体"/>
                <w:color w:val="000000"/>
                <w:szCs w:val="21"/>
                <w:highlight w:val="none"/>
              </w:rPr>
            </w:pPr>
          </w:p>
        </w:tc>
        <w:tc>
          <w:tcPr>
            <w:tcW w:w="1701" w:type="dxa"/>
            <w:vAlign w:val="center"/>
          </w:tcPr>
          <w:p w14:paraId="3C8193DD">
            <w:pPr>
              <w:rPr>
                <w:rFonts w:ascii="宋体" w:hAnsi="宋体"/>
                <w:color w:val="000000"/>
                <w:szCs w:val="21"/>
                <w:highlight w:val="none"/>
              </w:rPr>
            </w:pPr>
          </w:p>
        </w:tc>
        <w:tc>
          <w:tcPr>
            <w:tcW w:w="1701" w:type="dxa"/>
            <w:vAlign w:val="center"/>
          </w:tcPr>
          <w:p w14:paraId="6F968BB1">
            <w:pPr>
              <w:rPr>
                <w:rFonts w:ascii="宋体" w:hAnsi="宋体"/>
                <w:color w:val="000000"/>
                <w:szCs w:val="21"/>
                <w:highlight w:val="none"/>
              </w:rPr>
            </w:pPr>
          </w:p>
        </w:tc>
      </w:tr>
      <w:tr w14:paraId="418DC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4608" w:type="dxa"/>
            <w:vAlign w:val="center"/>
          </w:tcPr>
          <w:p w14:paraId="1243B20F">
            <w:pPr>
              <w:rPr>
                <w:rFonts w:ascii="宋体" w:hAnsi="宋体"/>
                <w:color w:val="000000"/>
                <w:szCs w:val="21"/>
                <w:highlight w:val="none"/>
              </w:rPr>
            </w:pPr>
            <w:r>
              <w:rPr>
                <w:rFonts w:hint="eastAsia" w:ascii="宋体" w:hAnsi="宋体"/>
                <w:color w:val="000000"/>
                <w:szCs w:val="21"/>
                <w:highlight w:val="none"/>
              </w:rPr>
              <w:t>符合招标文件的签署、盖章要求</w:t>
            </w:r>
          </w:p>
        </w:tc>
        <w:tc>
          <w:tcPr>
            <w:tcW w:w="1521" w:type="dxa"/>
            <w:vAlign w:val="center"/>
          </w:tcPr>
          <w:p w14:paraId="555C8DC5">
            <w:pPr>
              <w:rPr>
                <w:rFonts w:ascii="宋体" w:hAnsi="宋体"/>
                <w:color w:val="000000"/>
                <w:szCs w:val="21"/>
                <w:highlight w:val="none"/>
              </w:rPr>
            </w:pPr>
          </w:p>
        </w:tc>
        <w:tc>
          <w:tcPr>
            <w:tcW w:w="1701" w:type="dxa"/>
            <w:vAlign w:val="center"/>
          </w:tcPr>
          <w:p w14:paraId="088D082D">
            <w:pPr>
              <w:rPr>
                <w:rFonts w:ascii="宋体" w:hAnsi="宋体"/>
                <w:color w:val="000000"/>
                <w:szCs w:val="21"/>
                <w:highlight w:val="none"/>
              </w:rPr>
            </w:pPr>
          </w:p>
        </w:tc>
        <w:tc>
          <w:tcPr>
            <w:tcW w:w="1701" w:type="dxa"/>
            <w:vAlign w:val="center"/>
          </w:tcPr>
          <w:p w14:paraId="3076486E">
            <w:pPr>
              <w:rPr>
                <w:rFonts w:ascii="宋体" w:hAnsi="宋体"/>
                <w:color w:val="000000"/>
                <w:szCs w:val="21"/>
                <w:highlight w:val="none"/>
              </w:rPr>
            </w:pPr>
          </w:p>
        </w:tc>
      </w:tr>
      <w:tr w14:paraId="331C8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4608" w:type="dxa"/>
            <w:vAlign w:val="center"/>
          </w:tcPr>
          <w:p w14:paraId="4A2AACB4">
            <w:pPr>
              <w:rPr>
                <w:rFonts w:ascii="宋体" w:hAnsi="宋体"/>
                <w:color w:val="000000"/>
                <w:szCs w:val="21"/>
                <w:highlight w:val="none"/>
              </w:rPr>
            </w:pPr>
            <w:r>
              <w:rPr>
                <w:rFonts w:hint="eastAsia" w:ascii="宋体" w:hAnsi="宋体"/>
                <w:color w:val="000000"/>
                <w:szCs w:val="21"/>
                <w:highlight w:val="none"/>
              </w:rPr>
              <w:t>按招标文件要求提供</w:t>
            </w:r>
            <w:r>
              <w:rPr>
                <w:rFonts w:ascii="宋体" w:hAnsi="宋体"/>
                <w:color w:val="000000"/>
                <w:szCs w:val="21"/>
                <w:highlight w:val="none"/>
              </w:rPr>
              <w:t>法定代表人证明</w:t>
            </w:r>
            <w:r>
              <w:rPr>
                <w:rFonts w:hint="eastAsia" w:ascii="宋体" w:hAnsi="宋体"/>
                <w:color w:val="000000"/>
                <w:szCs w:val="21"/>
                <w:highlight w:val="none"/>
              </w:rPr>
              <w:t>及授</w:t>
            </w:r>
            <w:r>
              <w:rPr>
                <w:rFonts w:ascii="宋体" w:hAnsi="宋体"/>
                <w:color w:val="000000"/>
                <w:szCs w:val="21"/>
                <w:highlight w:val="none"/>
              </w:rPr>
              <w:t>权书</w:t>
            </w:r>
            <w:r>
              <w:rPr>
                <w:rFonts w:hint="eastAsia" w:ascii="宋体" w:hAnsi="宋体"/>
                <w:color w:val="000000"/>
                <w:szCs w:val="21"/>
                <w:highlight w:val="none"/>
              </w:rPr>
              <w:t>的</w:t>
            </w:r>
          </w:p>
        </w:tc>
        <w:tc>
          <w:tcPr>
            <w:tcW w:w="1521" w:type="dxa"/>
            <w:vAlign w:val="center"/>
          </w:tcPr>
          <w:p w14:paraId="0CD50326">
            <w:pPr>
              <w:rPr>
                <w:rFonts w:ascii="宋体" w:hAnsi="宋体"/>
                <w:color w:val="000000"/>
                <w:szCs w:val="21"/>
                <w:highlight w:val="none"/>
              </w:rPr>
            </w:pPr>
          </w:p>
        </w:tc>
        <w:tc>
          <w:tcPr>
            <w:tcW w:w="1701" w:type="dxa"/>
            <w:vAlign w:val="center"/>
          </w:tcPr>
          <w:p w14:paraId="4EFE85DA">
            <w:pPr>
              <w:rPr>
                <w:rFonts w:ascii="宋体" w:hAnsi="宋体"/>
                <w:color w:val="000000"/>
                <w:szCs w:val="21"/>
                <w:highlight w:val="none"/>
              </w:rPr>
            </w:pPr>
          </w:p>
        </w:tc>
        <w:tc>
          <w:tcPr>
            <w:tcW w:w="1701" w:type="dxa"/>
            <w:vAlign w:val="center"/>
          </w:tcPr>
          <w:p w14:paraId="3D38BC19">
            <w:pPr>
              <w:rPr>
                <w:rFonts w:ascii="宋体" w:hAnsi="宋体"/>
                <w:color w:val="000000"/>
                <w:szCs w:val="21"/>
                <w:highlight w:val="none"/>
              </w:rPr>
            </w:pPr>
          </w:p>
        </w:tc>
      </w:tr>
      <w:tr w14:paraId="4AAC5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4608" w:type="dxa"/>
            <w:vAlign w:val="center"/>
          </w:tcPr>
          <w:p w14:paraId="36490FAE">
            <w:pPr>
              <w:rPr>
                <w:rFonts w:ascii="宋体" w:hAnsi="宋体"/>
                <w:color w:val="000000"/>
                <w:szCs w:val="21"/>
                <w:highlight w:val="none"/>
              </w:rPr>
            </w:pPr>
            <w:r>
              <w:rPr>
                <w:rFonts w:hint="eastAsia" w:ascii="宋体" w:hAnsi="宋体"/>
                <w:color w:val="000000"/>
                <w:szCs w:val="21"/>
                <w:highlight w:val="none"/>
              </w:rPr>
              <w:t>符合招标文件投标有效期要求的</w:t>
            </w:r>
          </w:p>
        </w:tc>
        <w:tc>
          <w:tcPr>
            <w:tcW w:w="1521" w:type="dxa"/>
            <w:vAlign w:val="center"/>
          </w:tcPr>
          <w:p w14:paraId="7282B91C">
            <w:pPr>
              <w:rPr>
                <w:rFonts w:ascii="宋体" w:hAnsi="宋体"/>
                <w:color w:val="000000"/>
                <w:szCs w:val="21"/>
                <w:highlight w:val="none"/>
              </w:rPr>
            </w:pPr>
          </w:p>
        </w:tc>
        <w:tc>
          <w:tcPr>
            <w:tcW w:w="1701" w:type="dxa"/>
            <w:vAlign w:val="center"/>
          </w:tcPr>
          <w:p w14:paraId="62C3F170">
            <w:pPr>
              <w:rPr>
                <w:rFonts w:ascii="宋体" w:hAnsi="宋体"/>
                <w:color w:val="000000"/>
                <w:szCs w:val="21"/>
                <w:highlight w:val="none"/>
              </w:rPr>
            </w:pPr>
          </w:p>
        </w:tc>
        <w:tc>
          <w:tcPr>
            <w:tcW w:w="1701" w:type="dxa"/>
            <w:vAlign w:val="center"/>
          </w:tcPr>
          <w:p w14:paraId="3BF194CC">
            <w:pPr>
              <w:rPr>
                <w:rFonts w:ascii="宋体" w:hAnsi="宋体"/>
                <w:color w:val="000000"/>
                <w:szCs w:val="21"/>
                <w:highlight w:val="none"/>
              </w:rPr>
            </w:pPr>
          </w:p>
        </w:tc>
      </w:tr>
      <w:tr w14:paraId="7D6A3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4608" w:type="dxa"/>
            <w:vAlign w:val="center"/>
          </w:tcPr>
          <w:p w14:paraId="014BCB89">
            <w:pPr>
              <w:rPr>
                <w:rFonts w:ascii="宋体" w:hAnsi="宋体"/>
                <w:color w:val="000000"/>
                <w:szCs w:val="21"/>
                <w:highlight w:val="none"/>
              </w:rPr>
            </w:pPr>
            <w:r>
              <w:rPr>
                <w:rFonts w:hint="eastAsia" w:ascii="宋体" w:hAnsi="宋体"/>
                <w:color w:val="000000"/>
                <w:szCs w:val="21"/>
                <w:highlight w:val="none"/>
              </w:rPr>
              <w:t>满足招标文件的其他要求，没有重大偏离的</w:t>
            </w:r>
          </w:p>
        </w:tc>
        <w:tc>
          <w:tcPr>
            <w:tcW w:w="1521" w:type="dxa"/>
            <w:vAlign w:val="center"/>
          </w:tcPr>
          <w:p w14:paraId="0DD713D6">
            <w:pPr>
              <w:rPr>
                <w:rFonts w:ascii="宋体" w:hAnsi="宋体"/>
                <w:color w:val="000000"/>
                <w:szCs w:val="21"/>
                <w:highlight w:val="none"/>
              </w:rPr>
            </w:pPr>
          </w:p>
        </w:tc>
        <w:tc>
          <w:tcPr>
            <w:tcW w:w="1701" w:type="dxa"/>
            <w:vAlign w:val="center"/>
          </w:tcPr>
          <w:p w14:paraId="226271BD">
            <w:pPr>
              <w:rPr>
                <w:rFonts w:ascii="宋体" w:hAnsi="宋体"/>
                <w:color w:val="000000"/>
                <w:szCs w:val="21"/>
                <w:highlight w:val="none"/>
              </w:rPr>
            </w:pPr>
          </w:p>
        </w:tc>
        <w:tc>
          <w:tcPr>
            <w:tcW w:w="1701" w:type="dxa"/>
            <w:vAlign w:val="center"/>
          </w:tcPr>
          <w:p w14:paraId="7525C5A7">
            <w:pPr>
              <w:rPr>
                <w:rFonts w:ascii="宋体" w:hAnsi="宋体"/>
                <w:color w:val="000000"/>
                <w:szCs w:val="21"/>
                <w:highlight w:val="none"/>
              </w:rPr>
            </w:pPr>
          </w:p>
        </w:tc>
      </w:tr>
      <w:tr w14:paraId="0DED0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608" w:type="dxa"/>
            <w:vAlign w:val="center"/>
          </w:tcPr>
          <w:p w14:paraId="7F629169">
            <w:pPr>
              <w:jc w:val="center"/>
              <w:rPr>
                <w:rFonts w:ascii="宋体" w:hAnsi="宋体"/>
                <w:color w:val="000000"/>
                <w:szCs w:val="21"/>
                <w:highlight w:val="none"/>
              </w:rPr>
            </w:pPr>
            <w:r>
              <w:rPr>
                <w:rFonts w:hint="eastAsia" w:ascii="宋体" w:hAnsi="宋体"/>
                <w:color w:val="000000"/>
                <w:szCs w:val="21"/>
                <w:highlight w:val="none"/>
              </w:rPr>
              <w:t>结论</w:t>
            </w:r>
          </w:p>
        </w:tc>
        <w:tc>
          <w:tcPr>
            <w:tcW w:w="1521" w:type="dxa"/>
            <w:vAlign w:val="center"/>
          </w:tcPr>
          <w:p w14:paraId="7B69381C">
            <w:pPr>
              <w:rPr>
                <w:rFonts w:ascii="宋体" w:hAnsi="宋体"/>
                <w:color w:val="000000"/>
                <w:szCs w:val="21"/>
                <w:highlight w:val="none"/>
              </w:rPr>
            </w:pPr>
          </w:p>
        </w:tc>
        <w:tc>
          <w:tcPr>
            <w:tcW w:w="1701" w:type="dxa"/>
            <w:vAlign w:val="center"/>
          </w:tcPr>
          <w:p w14:paraId="15710F39">
            <w:pPr>
              <w:rPr>
                <w:rFonts w:ascii="宋体" w:hAnsi="宋体"/>
                <w:color w:val="000000"/>
                <w:szCs w:val="21"/>
                <w:highlight w:val="none"/>
              </w:rPr>
            </w:pPr>
          </w:p>
        </w:tc>
        <w:tc>
          <w:tcPr>
            <w:tcW w:w="1701" w:type="dxa"/>
            <w:vAlign w:val="center"/>
          </w:tcPr>
          <w:p w14:paraId="67878494">
            <w:pPr>
              <w:rPr>
                <w:rFonts w:ascii="宋体" w:hAnsi="宋体"/>
                <w:color w:val="000000"/>
                <w:szCs w:val="21"/>
                <w:highlight w:val="none"/>
              </w:rPr>
            </w:pPr>
          </w:p>
        </w:tc>
      </w:tr>
    </w:tbl>
    <w:p w14:paraId="1B957FD0">
      <w:pPr>
        <w:rPr>
          <w:color w:val="000000"/>
          <w:highlight w:val="none"/>
        </w:rPr>
      </w:pPr>
    </w:p>
    <w:p w14:paraId="4B7F112C">
      <w:pPr>
        <w:rPr>
          <w:color w:val="000000"/>
          <w:highlight w:val="none"/>
        </w:rPr>
      </w:pPr>
    </w:p>
    <w:p w14:paraId="3AE7B4A3">
      <w:pPr>
        <w:rPr>
          <w:color w:val="000000"/>
          <w:highlight w:val="none"/>
        </w:rPr>
      </w:pPr>
    </w:p>
    <w:p w14:paraId="293E0C8F">
      <w:pPr>
        <w:spacing w:line="360" w:lineRule="auto"/>
        <w:rPr>
          <w:rFonts w:ascii="宋体" w:hAnsi="宋体"/>
          <w:bCs/>
          <w:color w:val="000000"/>
          <w:sz w:val="24"/>
          <w:highlight w:val="none"/>
        </w:rPr>
      </w:pPr>
    </w:p>
    <w:p w14:paraId="29EB0DC8">
      <w:pPr>
        <w:spacing w:line="480" w:lineRule="auto"/>
        <w:rPr>
          <w:rFonts w:ascii="黑体" w:hAnsi="黑体" w:eastAsia="黑体"/>
          <w:color w:val="000000"/>
          <w:sz w:val="24"/>
          <w:highlight w:val="none"/>
        </w:rPr>
      </w:pPr>
    </w:p>
    <w:p w14:paraId="13971933">
      <w:pPr>
        <w:spacing w:line="480" w:lineRule="auto"/>
        <w:rPr>
          <w:rFonts w:ascii="黑体" w:hAnsi="黑体" w:eastAsia="黑体"/>
          <w:color w:val="000000"/>
          <w:sz w:val="24"/>
          <w:highlight w:val="none"/>
        </w:rPr>
      </w:pPr>
    </w:p>
    <w:p w14:paraId="205AFD90">
      <w:pPr>
        <w:spacing w:line="480" w:lineRule="auto"/>
        <w:rPr>
          <w:rFonts w:ascii="黑体" w:hAnsi="黑体" w:eastAsia="黑体"/>
          <w:color w:val="000000"/>
          <w:sz w:val="24"/>
          <w:highlight w:val="none"/>
        </w:rPr>
      </w:pPr>
    </w:p>
    <w:p w14:paraId="1EFB4AE7">
      <w:pPr>
        <w:spacing w:line="480" w:lineRule="auto"/>
        <w:rPr>
          <w:rFonts w:ascii="黑体" w:hAnsi="黑体" w:eastAsia="黑体"/>
          <w:color w:val="000000"/>
          <w:sz w:val="24"/>
          <w:highlight w:val="none"/>
        </w:rPr>
      </w:pPr>
    </w:p>
    <w:p w14:paraId="4B7D1FA1">
      <w:pPr>
        <w:spacing w:line="480" w:lineRule="auto"/>
        <w:rPr>
          <w:rFonts w:ascii="黑体" w:hAnsi="黑体" w:eastAsia="黑体"/>
          <w:color w:val="000000"/>
          <w:sz w:val="24"/>
          <w:highlight w:val="none"/>
        </w:rPr>
      </w:pPr>
    </w:p>
    <w:p w14:paraId="19BBDD27">
      <w:pPr>
        <w:spacing w:line="480" w:lineRule="auto"/>
        <w:rPr>
          <w:rFonts w:ascii="黑体" w:hAnsi="黑体" w:eastAsia="黑体"/>
          <w:color w:val="000000"/>
          <w:sz w:val="24"/>
          <w:highlight w:val="none"/>
        </w:rPr>
      </w:pPr>
    </w:p>
    <w:p w14:paraId="78A788A1">
      <w:pPr>
        <w:spacing w:line="480" w:lineRule="auto"/>
        <w:rPr>
          <w:rFonts w:ascii="黑体" w:hAnsi="黑体" w:eastAsia="黑体"/>
          <w:color w:val="000000"/>
          <w:sz w:val="24"/>
          <w:highlight w:val="none"/>
        </w:rPr>
      </w:pPr>
    </w:p>
    <w:p w14:paraId="544F3B0C">
      <w:pPr>
        <w:spacing w:line="480" w:lineRule="auto"/>
        <w:rPr>
          <w:rFonts w:ascii="黑体" w:hAnsi="黑体" w:eastAsia="黑体"/>
          <w:color w:val="000000"/>
          <w:sz w:val="24"/>
          <w:highlight w:val="none"/>
        </w:rPr>
      </w:pPr>
    </w:p>
    <w:p w14:paraId="143C9B79">
      <w:pPr>
        <w:pStyle w:val="4"/>
        <w:spacing w:line="240" w:lineRule="auto"/>
        <w:rPr>
          <w:color w:val="000000"/>
          <w:sz w:val="21"/>
          <w:szCs w:val="21"/>
          <w:highlight w:val="none"/>
        </w:rPr>
      </w:pPr>
      <w:bookmarkStart w:id="1139" w:name="_Toc334795481"/>
      <w:r>
        <w:rPr>
          <w:rFonts w:hint="eastAsia"/>
          <w:color w:val="000000"/>
          <w:sz w:val="21"/>
          <w:szCs w:val="21"/>
          <w:highlight w:val="none"/>
        </w:rPr>
        <w:t>附表</w:t>
      </w:r>
      <w:bookmarkEnd w:id="1139"/>
      <w:r>
        <w:rPr>
          <w:rFonts w:hint="eastAsia"/>
          <w:color w:val="000000"/>
          <w:sz w:val="21"/>
          <w:szCs w:val="21"/>
          <w:highlight w:val="none"/>
        </w:rPr>
        <w:t xml:space="preserve">三                </w:t>
      </w:r>
    </w:p>
    <w:tbl>
      <w:tblPr>
        <w:tblStyle w:val="22"/>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509"/>
        <w:gridCol w:w="5437"/>
        <w:gridCol w:w="709"/>
        <w:gridCol w:w="850"/>
      </w:tblGrid>
      <w:tr w14:paraId="7A4E00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4312FE4">
            <w:pPr>
              <w:ind w:left="-78" w:leftChars="-37" w:right="-73" w:rightChars="-35"/>
              <w:jc w:val="center"/>
              <w:rPr>
                <w:rFonts w:ascii="宋体" w:hAnsi="宋体" w:cs="宋体"/>
                <w:b/>
                <w:highlight w:val="none"/>
              </w:rPr>
            </w:pPr>
            <w:r>
              <w:rPr>
                <w:rFonts w:hint="eastAsia" w:ascii="宋体" w:hAnsi="宋体" w:cs="宋体"/>
                <w:b/>
                <w:highlight w:val="none"/>
              </w:rPr>
              <w:t>序号</w:t>
            </w:r>
          </w:p>
        </w:tc>
        <w:tc>
          <w:tcPr>
            <w:tcW w:w="1509" w:type="dxa"/>
            <w:vAlign w:val="center"/>
          </w:tcPr>
          <w:p w14:paraId="354487CA">
            <w:pPr>
              <w:ind w:left="-78" w:leftChars="-37" w:right="-73" w:rightChars="-35"/>
              <w:jc w:val="center"/>
              <w:rPr>
                <w:rFonts w:ascii="宋体" w:hAnsi="宋体" w:cs="宋体"/>
                <w:b/>
                <w:highlight w:val="none"/>
              </w:rPr>
            </w:pPr>
            <w:r>
              <w:rPr>
                <w:rFonts w:hint="eastAsia" w:ascii="宋体" w:hAnsi="宋体" w:cs="宋体"/>
                <w:b/>
                <w:highlight w:val="none"/>
              </w:rPr>
              <w:t>评审因素</w:t>
            </w:r>
          </w:p>
        </w:tc>
        <w:tc>
          <w:tcPr>
            <w:tcW w:w="5437" w:type="dxa"/>
            <w:vAlign w:val="center"/>
          </w:tcPr>
          <w:p w14:paraId="55DE9078">
            <w:pPr>
              <w:ind w:left="-78" w:leftChars="-37" w:right="-73" w:rightChars="-35"/>
              <w:jc w:val="center"/>
              <w:rPr>
                <w:rFonts w:ascii="宋体" w:hAnsi="宋体" w:cs="宋体"/>
                <w:b/>
                <w:highlight w:val="none"/>
              </w:rPr>
            </w:pPr>
            <w:r>
              <w:rPr>
                <w:rFonts w:hint="eastAsia" w:ascii="宋体" w:hAnsi="宋体" w:cs="宋体"/>
                <w:b/>
                <w:highlight w:val="none"/>
              </w:rPr>
              <w:t>评分细则</w:t>
            </w:r>
          </w:p>
        </w:tc>
        <w:tc>
          <w:tcPr>
            <w:tcW w:w="709" w:type="dxa"/>
            <w:tcBorders>
              <w:right w:val="single" w:color="auto" w:sz="4" w:space="0"/>
            </w:tcBorders>
            <w:vAlign w:val="center"/>
          </w:tcPr>
          <w:p w14:paraId="2F177190">
            <w:pPr>
              <w:ind w:left="-78" w:leftChars="-37" w:right="-73" w:rightChars="-35"/>
              <w:jc w:val="center"/>
              <w:rPr>
                <w:rFonts w:ascii="宋体" w:hAnsi="宋体" w:cs="宋体"/>
                <w:b/>
                <w:highlight w:val="none"/>
              </w:rPr>
            </w:pPr>
            <w:r>
              <w:rPr>
                <w:rFonts w:hint="eastAsia" w:ascii="宋体" w:hAnsi="宋体" w:cs="宋体"/>
                <w:b/>
                <w:highlight w:val="none"/>
              </w:rPr>
              <w:t>权重（%）</w:t>
            </w:r>
          </w:p>
        </w:tc>
        <w:tc>
          <w:tcPr>
            <w:tcW w:w="850" w:type="dxa"/>
            <w:tcBorders>
              <w:left w:val="single" w:color="auto" w:sz="4" w:space="0"/>
            </w:tcBorders>
            <w:vAlign w:val="center"/>
          </w:tcPr>
          <w:p w14:paraId="77DA55C7">
            <w:pPr>
              <w:ind w:left="-78" w:leftChars="-37" w:right="-73" w:rightChars="-35"/>
              <w:jc w:val="center"/>
              <w:rPr>
                <w:rFonts w:ascii="宋体" w:hAnsi="宋体" w:cs="宋体"/>
                <w:b/>
                <w:highlight w:val="none"/>
              </w:rPr>
            </w:pPr>
            <w:r>
              <w:rPr>
                <w:rFonts w:hint="eastAsia" w:ascii="宋体" w:hAnsi="宋体" w:cs="宋体"/>
                <w:b/>
                <w:highlight w:val="none"/>
              </w:rPr>
              <w:t>分值（分）</w:t>
            </w:r>
          </w:p>
        </w:tc>
      </w:tr>
      <w:tr w14:paraId="53002B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4669B63B">
            <w:pPr>
              <w:ind w:left="-78" w:leftChars="-37" w:right="-73" w:rightChars="-35"/>
              <w:jc w:val="center"/>
              <w:rPr>
                <w:rFonts w:ascii="宋体" w:hAnsi="宋体" w:cs="宋体"/>
                <w:highlight w:val="none"/>
              </w:rPr>
            </w:pPr>
            <w:r>
              <w:rPr>
                <w:rFonts w:hint="eastAsia" w:ascii="宋体" w:hAnsi="宋体" w:cs="宋体"/>
                <w:highlight w:val="none"/>
              </w:rPr>
              <w:t>一</w:t>
            </w:r>
          </w:p>
        </w:tc>
        <w:tc>
          <w:tcPr>
            <w:tcW w:w="8505" w:type="dxa"/>
            <w:gridSpan w:val="4"/>
            <w:vAlign w:val="center"/>
          </w:tcPr>
          <w:p w14:paraId="7508AC0C">
            <w:pPr>
              <w:ind w:left="-78" w:leftChars="-37" w:right="-73" w:rightChars="-35"/>
              <w:jc w:val="center"/>
              <w:rPr>
                <w:rFonts w:ascii="宋体" w:hAnsi="宋体" w:cs="宋体"/>
                <w:highlight w:val="none"/>
              </w:rPr>
            </w:pPr>
            <w:r>
              <w:rPr>
                <w:rFonts w:hint="eastAsia" w:ascii="宋体" w:hAnsi="宋体"/>
                <w:highlight w:val="none"/>
              </w:rPr>
              <w:t>技术部分(合计1</w:t>
            </w:r>
            <w:r>
              <w:rPr>
                <w:rFonts w:hint="eastAsia" w:ascii="宋体" w:hAnsi="宋体"/>
                <w:highlight w:val="none"/>
                <w:lang w:val="en-US" w:eastAsia="zh-CN"/>
              </w:rPr>
              <w:t>0</w:t>
            </w:r>
            <w:r>
              <w:rPr>
                <w:rFonts w:hint="eastAsia" w:ascii="宋体" w:hAnsi="宋体"/>
                <w:highlight w:val="none"/>
              </w:rPr>
              <w:t>分)</w:t>
            </w:r>
          </w:p>
        </w:tc>
      </w:tr>
      <w:tr w14:paraId="00B176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4A63CB8">
            <w:pPr>
              <w:pStyle w:val="60"/>
              <w:numPr>
                <w:ilvl w:val="0"/>
                <w:numId w:val="11"/>
              </w:numPr>
              <w:ind w:firstLineChars="0"/>
              <w:jc w:val="center"/>
              <w:rPr>
                <w:rFonts w:ascii="宋体" w:hAnsi="宋体"/>
                <w:szCs w:val="21"/>
                <w:highlight w:val="none"/>
              </w:rPr>
            </w:pPr>
          </w:p>
        </w:tc>
        <w:tc>
          <w:tcPr>
            <w:tcW w:w="1509" w:type="dxa"/>
            <w:vAlign w:val="center"/>
          </w:tcPr>
          <w:p w14:paraId="13892F04">
            <w:pPr>
              <w:rPr>
                <w:rFonts w:ascii="宋体" w:hAnsi="宋体"/>
                <w:highlight w:val="none"/>
              </w:rPr>
            </w:pPr>
            <w:r>
              <w:rPr>
                <w:rFonts w:hint="eastAsia" w:ascii="宋体" w:hAnsi="宋体"/>
                <w:highlight w:val="none"/>
              </w:rPr>
              <w:t>总体施工方案</w:t>
            </w:r>
          </w:p>
        </w:tc>
        <w:tc>
          <w:tcPr>
            <w:tcW w:w="5437" w:type="dxa"/>
            <w:vAlign w:val="center"/>
          </w:tcPr>
          <w:p w14:paraId="640079FE">
            <w:pPr>
              <w:pStyle w:val="37"/>
              <w:ind w:firstLine="0" w:firstLineChars="0"/>
              <w:rPr>
                <w:rFonts w:ascii="宋体" w:hAnsi="宋体"/>
                <w:color w:val="auto"/>
                <w:highlight w:val="none"/>
              </w:rPr>
            </w:pPr>
            <w:r>
              <w:rPr>
                <w:rFonts w:hint="eastAsia" w:ascii="宋体" w:hAnsi="宋体"/>
                <w:color w:val="auto"/>
                <w:highlight w:val="none"/>
              </w:rPr>
              <w:t>1、总体施工方案思路清晰、组织机构完整、人员配备齐全，完全满足项目需求，得</w:t>
            </w:r>
            <w:r>
              <w:rPr>
                <w:rFonts w:hint="eastAsia" w:ascii="宋体" w:hAnsi="宋体"/>
                <w:color w:val="auto"/>
                <w:highlight w:val="none"/>
                <w:lang w:val="en-US" w:eastAsia="zh-CN"/>
              </w:rPr>
              <w:t>3</w:t>
            </w:r>
            <w:r>
              <w:rPr>
                <w:rFonts w:hint="eastAsia" w:ascii="宋体" w:hAnsi="宋体"/>
                <w:color w:val="auto"/>
                <w:highlight w:val="none"/>
              </w:rPr>
              <w:t>分；</w:t>
            </w:r>
          </w:p>
          <w:p w14:paraId="3FA25855">
            <w:pPr>
              <w:pStyle w:val="37"/>
              <w:ind w:firstLine="0" w:firstLineChars="0"/>
              <w:rPr>
                <w:rFonts w:ascii="宋体" w:hAnsi="宋体"/>
                <w:color w:val="auto"/>
                <w:highlight w:val="none"/>
              </w:rPr>
            </w:pPr>
            <w:r>
              <w:rPr>
                <w:rFonts w:hint="eastAsia" w:ascii="宋体" w:hAnsi="宋体"/>
                <w:color w:val="auto"/>
                <w:highlight w:val="none"/>
              </w:rPr>
              <w:t>2、总体施工方案思路较清晰、组织机构较为完整、人员配备较为齐全，较好满足项目需求，得</w:t>
            </w:r>
            <w:r>
              <w:rPr>
                <w:rFonts w:hint="eastAsia" w:ascii="宋体" w:hAnsi="宋体"/>
                <w:color w:val="auto"/>
                <w:highlight w:val="none"/>
                <w:lang w:val="en-US" w:eastAsia="zh-CN"/>
              </w:rPr>
              <w:t>2</w:t>
            </w:r>
            <w:r>
              <w:rPr>
                <w:rFonts w:hint="eastAsia" w:ascii="宋体" w:hAnsi="宋体"/>
                <w:color w:val="auto"/>
                <w:highlight w:val="none"/>
              </w:rPr>
              <w:t>分；</w:t>
            </w:r>
          </w:p>
          <w:p w14:paraId="0D94AE46">
            <w:pPr>
              <w:pStyle w:val="37"/>
              <w:ind w:firstLine="0" w:firstLineChars="0"/>
              <w:rPr>
                <w:rFonts w:ascii="宋体" w:hAnsi="宋体"/>
                <w:color w:val="auto"/>
                <w:highlight w:val="none"/>
              </w:rPr>
            </w:pPr>
            <w:r>
              <w:rPr>
                <w:rFonts w:hint="eastAsia" w:ascii="宋体" w:hAnsi="宋体"/>
                <w:color w:val="auto"/>
                <w:highlight w:val="none"/>
              </w:rPr>
              <w:t>3、总体施工方案思路基本清晰、组织机构基本完整、人员配备基本齐全，基本满足项目需求，得1分；</w:t>
            </w:r>
          </w:p>
          <w:p w14:paraId="5D007A7A">
            <w:pPr>
              <w:pStyle w:val="37"/>
              <w:ind w:firstLine="0" w:firstLineChars="0"/>
              <w:rPr>
                <w:rFonts w:ascii="宋体" w:hAnsi="宋体"/>
                <w:highlight w:val="none"/>
              </w:rPr>
            </w:pPr>
            <w:r>
              <w:rPr>
                <w:rFonts w:hint="eastAsia" w:ascii="宋体" w:hAnsi="宋体"/>
                <w:color w:val="auto"/>
                <w:highlight w:val="none"/>
              </w:rPr>
              <w:t>4、总体施工方案思路不够清晰、组织机构不完整、人员配备不齐全，不能满足项目需求或不提供方案的，得0分；</w:t>
            </w:r>
            <w:r>
              <w:rPr>
                <w:rFonts w:hint="eastAsia" w:ascii="宋体" w:hAnsi="宋体" w:cs="宋体"/>
                <w:color w:val="auto"/>
                <w:szCs w:val="21"/>
                <w:u w:val="none"/>
              </w:rPr>
              <w:t>。</w:t>
            </w:r>
          </w:p>
        </w:tc>
        <w:tc>
          <w:tcPr>
            <w:tcW w:w="709" w:type="dxa"/>
            <w:tcBorders>
              <w:right w:val="single" w:color="auto" w:sz="4" w:space="0"/>
            </w:tcBorders>
            <w:vAlign w:val="center"/>
          </w:tcPr>
          <w:p w14:paraId="389861E1">
            <w:pPr>
              <w:jc w:val="center"/>
              <w:rPr>
                <w:rFonts w:ascii="宋体" w:hAnsi="宋体" w:cs="宋体"/>
                <w:highlight w:val="none"/>
              </w:rPr>
            </w:pPr>
            <w:r>
              <w:rPr>
                <w:rFonts w:hint="eastAsia" w:ascii="宋体" w:hAnsi="宋体" w:cs="宋体"/>
                <w:highlight w:val="none"/>
                <w:lang w:val="en-US" w:eastAsia="zh-CN"/>
              </w:rPr>
              <w:t>3</w:t>
            </w:r>
            <w:r>
              <w:rPr>
                <w:rFonts w:hint="eastAsia" w:ascii="宋体" w:hAnsi="宋体" w:cs="宋体"/>
                <w:highlight w:val="none"/>
              </w:rPr>
              <w:t>%</w:t>
            </w:r>
          </w:p>
        </w:tc>
        <w:tc>
          <w:tcPr>
            <w:tcW w:w="850" w:type="dxa"/>
            <w:tcBorders>
              <w:left w:val="single" w:color="auto" w:sz="4" w:space="0"/>
            </w:tcBorders>
            <w:vAlign w:val="center"/>
          </w:tcPr>
          <w:p w14:paraId="7C8D8C28">
            <w:pPr>
              <w:jc w:val="center"/>
              <w:rPr>
                <w:rFonts w:ascii="宋体" w:hAnsi="宋体" w:cs="宋体"/>
                <w:highlight w:val="none"/>
              </w:rPr>
            </w:pPr>
            <w:r>
              <w:rPr>
                <w:rFonts w:hint="eastAsia" w:ascii="宋体" w:hAnsi="宋体" w:cs="宋体"/>
                <w:highlight w:val="none"/>
                <w:lang w:val="en-US" w:eastAsia="zh-CN"/>
              </w:rPr>
              <w:t>3</w:t>
            </w:r>
            <w:r>
              <w:rPr>
                <w:rFonts w:hint="eastAsia" w:ascii="宋体" w:hAnsi="宋体" w:cs="宋体"/>
                <w:highlight w:val="none"/>
              </w:rPr>
              <w:t>分</w:t>
            </w:r>
          </w:p>
        </w:tc>
      </w:tr>
      <w:tr w14:paraId="0427E9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79963104">
            <w:pPr>
              <w:pStyle w:val="60"/>
              <w:numPr>
                <w:ilvl w:val="0"/>
                <w:numId w:val="11"/>
              </w:numPr>
              <w:ind w:firstLineChars="0"/>
              <w:jc w:val="center"/>
              <w:rPr>
                <w:rFonts w:ascii="宋体" w:hAnsi="宋体"/>
                <w:szCs w:val="21"/>
                <w:highlight w:val="none"/>
              </w:rPr>
            </w:pPr>
          </w:p>
        </w:tc>
        <w:tc>
          <w:tcPr>
            <w:tcW w:w="1509" w:type="dxa"/>
            <w:vAlign w:val="center"/>
          </w:tcPr>
          <w:p w14:paraId="05878F3B">
            <w:pPr>
              <w:jc w:val="center"/>
              <w:rPr>
                <w:rFonts w:hAnsi="宋体"/>
                <w:bCs/>
                <w:highlight w:val="none"/>
              </w:rPr>
            </w:pPr>
            <w:r>
              <w:rPr>
                <w:rFonts w:hint="eastAsia" w:ascii="宋体" w:hAnsi="宋体" w:cs="宋体"/>
                <w:color w:val="auto"/>
                <w:kern w:val="0"/>
                <w:szCs w:val="21"/>
              </w:rPr>
              <w:t>安全防护、文明施工措施</w:t>
            </w:r>
          </w:p>
        </w:tc>
        <w:tc>
          <w:tcPr>
            <w:tcW w:w="5437" w:type="dxa"/>
            <w:vAlign w:val="center"/>
          </w:tcPr>
          <w:p w14:paraId="212639C4">
            <w:pPr>
              <w:rPr>
                <w:rFonts w:ascii="宋体" w:hAnsi="宋体"/>
                <w:color w:val="auto"/>
                <w:highlight w:val="none"/>
              </w:rPr>
            </w:pPr>
            <w:r>
              <w:rPr>
                <w:rFonts w:hint="eastAsia" w:ascii="宋体" w:hAnsi="宋体"/>
                <w:color w:val="auto"/>
                <w:highlight w:val="none"/>
              </w:rPr>
              <w:t>1、安全目标明确，结合本项目特点，文明施工保证体系健全，各项保证措施明确、具体、可行，在典型位置的安全措施先进可靠，得3分；</w:t>
            </w:r>
          </w:p>
          <w:p w14:paraId="53276BEC">
            <w:pPr>
              <w:rPr>
                <w:rFonts w:ascii="宋体" w:hAnsi="宋体"/>
                <w:color w:val="auto"/>
                <w:highlight w:val="none"/>
              </w:rPr>
            </w:pPr>
            <w:r>
              <w:rPr>
                <w:rFonts w:hint="eastAsia" w:ascii="宋体" w:hAnsi="宋体"/>
                <w:color w:val="auto"/>
                <w:highlight w:val="none"/>
              </w:rPr>
              <w:t>2、安全目标较明确，结合本项目特点，文明施工保证体系较健全，各项保证措施较明确、具体、较可行，在典型位置的安全措施较先进可靠，得2分；</w:t>
            </w:r>
          </w:p>
          <w:p w14:paraId="7CE6388C">
            <w:pPr>
              <w:rPr>
                <w:rFonts w:ascii="宋体" w:hAnsi="宋体"/>
                <w:color w:val="auto"/>
                <w:highlight w:val="none"/>
              </w:rPr>
            </w:pPr>
            <w:r>
              <w:rPr>
                <w:rFonts w:hint="eastAsia" w:ascii="宋体" w:hAnsi="宋体"/>
                <w:color w:val="auto"/>
                <w:highlight w:val="none"/>
              </w:rPr>
              <w:t>3、安全目标基本明确，结合本项目特点，文明施工保证体系基本健全，各项保证措施基本明确，在典型位置的安全措施一般，得1分；</w:t>
            </w:r>
          </w:p>
          <w:p w14:paraId="3461F59E">
            <w:pPr>
              <w:rPr>
                <w:rFonts w:ascii="宋体" w:hAnsi="宋体"/>
                <w:highlight w:val="none"/>
              </w:rPr>
            </w:pPr>
            <w:r>
              <w:rPr>
                <w:rFonts w:hint="eastAsia" w:ascii="宋体" w:hAnsi="宋体"/>
                <w:color w:val="auto"/>
                <w:highlight w:val="none"/>
              </w:rPr>
              <w:t>4、安全目标不明确，没有结合本项目特点，文明施工保证体系不够健全，各项保证措施不明确，在典型位置的安全措施差或不提供方案的，得0分；</w:t>
            </w:r>
          </w:p>
        </w:tc>
        <w:tc>
          <w:tcPr>
            <w:tcW w:w="709" w:type="dxa"/>
            <w:tcBorders>
              <w:right w:val="single" w:color="auto" w:sz="4" w:space="0"/>
            </w:tcBorders>
            <w:vAlign w:val="center"/>
          </w:tcPr>
          <w:p w14:paraId="725033F6">
            <w:pPr>
              <w:jc w:val="center"/>
              <w:rPr>
                <w:rFonts w:hAnsi="宋体"/>
                <w:bCs/>
                <w:highlight w:val="none"/>
              </w:rPr>
            </w:pPr>
            <w:r>
              <w:rPr>
                <w:rFonts w:hint="eastAsia" w:ascii="宋体" w:hAnsi="宋体" w:cs="宋体"/>
                <w:highlight w:val="none"/>
                <w:lang w:val="en-US" w:eastAsia="zh-CN"/>
              </w:rPr>
              <w:t>3</w:t>
            </w:r>
            <w:r>
              <w:rPr>
                <w:rFonts w:hint="eastAsia" w:ascii="宋体" w:hAnsi="宋体" w:cs="宋体"/>
                <w:highlight w:val="none"/>
              </w:rPr>
              <w:t>%</w:t>
            </w:r>
          </w:p>
        </w:tc>
        <w:tc>
          <w:tcPr>
            <w:tcW w:w="850" w:type="dxa"/>
            <w:tcBorders>
              <w:left w:val="single" w:color="auto" w:sz="4" w:space="0"/>
            </w:tcBorders>
            <w:vAlign w:val="center"/>
          </w:tcPr>
          <w:p w14:paraId="6936577A">
            <w:pPr>
              <w:jc w:val="center"/>
              <w:rPr>
                <w:rFonts w:ascii="宋体" w:hAnsi="宋体"/>
                <w:highlight w:val="none"/>
              </w:rPr>
            </w:pPr>
            <w:r>
              <w:rPr>
                <w:rFonts w:hint="eastAsia" w:ascii="宋体" w:hAnsi="宋体" w:cs="宋体"/>
                <w:highlight w:val="none"/>
                <w:lang w:val="en-US" w:eastAsia="zh-CN"/>
              </w:rPr>
              <w:t>3</w:t>
            </w:r>
            <w:r>
              <w:rPr>
                <w:rFonts w:hint="eastAsia" w:ascii="宋体" w:hAnsi="宋体" w:cs="宋体"/>
                <w:highlight w:val="none"/>
              </w:rPr>
              <w:t>分</w:t>
            </w:r>
          </w:p>
        </w:tc>
      </w:tr>
      <w:tr w14:paraId="7D9788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345DBE21">
            <w:pPr>
              <w:pStyle w:val="60"/>
              <w:numPr>
                <w:ilvl w:val="0"/>
                <w:numId w:val="11"/>
              </w:numPr>
              <w:ind w:firstLineChars="0"/>
              <w:jc w:val="center"/>
              <w:rPr>
                <w:rFonts w:ascii="宋体" w:hAnsi="宋体"/>
                <w:szCs w:val="21"/>
                <w:highlight w:val="none"/>
              </w:rPr>
            </w:pPr>
          </w:p>
        </w:tc>
        <w:tc>
          <w:tcPr>
            <w:tcW w:w="1509" w:type="dxa"/>
            <w:vAlign w:val="center"/>
          </w:tcPr>
          <w:p w14:paraId="3DA51F53">
            <w:pPr>
              <w:jc w:val="center"/>
              <w:rPr>
                <w:rFonts w:hAnsi="宋体"/>
                <w:bCs/>
                <w:highlight w:val="none"/>
              </w:rPr>
            </w:pPr>
            <w:r>
              <w:rPr>
                <w:rFonts w:ascii="宋体" w:hAnsi="宋体" w:cs="宋体"/>
                <w:color w:val="auto"/>
                <w:szCs w:val="21"/>
                <w:u w:val="none"/>
              </w:rPr>
              <w:t>应急</w:t>
            </w:r>
            <w:r>
              <w:rPr>
                <w:rFonts w:hint="eastAsia" w:ascii="宋体" w:hAnsi="宋体" w:cs="宋体"/>
                <w:color w:val="auto"/>
                <w:kern w:val="0"/>
                <w:szCs w:val="21"/>
              </w:rPr>
              <w:t>处理措施、预案以及抵抗风险的措施</w:t>
            </w:r>
          </w:p>
        </w:tc>
        <w:tc>
          <w:tcPr>
            <w:tcW w:w="5437" w:type="dxa"/>
            <w:vAlign w:val="center"/>
          </w:tcPr>
          <w:p w14:paraId="08B124CC">
            <w:pPr>
              <w:snapToGrid w:val="0"/>
              <w:rPr>
                <w:color w:val="auto"/>
                <w:highlight w:val="none"/>
              </w:rPr>
            </w:pPr>
            <w:r>
              <w:rPr>
                <w:rFonts w:hint="eastAsia"/>
                <w:color w:val="auto"/>
                <w:highlight w:val="none"/>
              </w:rPr>
              <w:t>1、对本项目的管理方案，提出合理、可行的方案，突发事件的处理措施、应急和配合预案最详细，</w:t>
            </w:r>
            <w:r>
              <w:rPr>
                <w:rFonts w:hint="eastAsia" w:ascii="宋体" w:hAnsi="宋体" w:cs="宋体"/>
                <w:bCs/>
                <w:color w:val="auto"/>
                <w:highlight w:val="none"/>
              </w:rPr>
              <w:t>突发情况到场处理人员级别为公司负责人，</w:t>
            </w:r>
            <w:r>
              <w:rPr>
                <w:rFonts w:hint="eastAsia"/>
                <w:color w:val="auto"/>
                <w:highlight w:val="none"/>
              </w:rPr>
              <w:t>得</w:t>
            </w:r>
            <w:r>
              <w:rPr>
                <w:rFonts w:hint="eastAsia"/>
                <w:color w:val="auto"/>
                <w:highlight w:val="none"/>
                <w:lang w:val="en-US" w:eastAsia="zh-CN"/>
              </w:rPr>
              <w:t>2</w:t>
            </w:r>
            <w:r>
              <w:rPr>
                <w:rFonts w:hint="eastAsia"/>
                <w:color w:val="auto"/>
                <w:highlight w:val="none"/>
              </w:rPr>
              <w:t>分；</w:t>
            </w:r>
          </w:p>
          <w:p w14:paraId="27A25875">
            <w:pPr>
              <w:snapToGrid w:val="0"/>
              <w:rPr>
                <w:color w:val="auto"/>
                <w:highlight w:val="none"/>
              </w:rPr>
            </w:pPr>
            <w:r>
              <w:rPr>
                <w:rFonts w:hint="eastAsia"/>
                <w:color w:val="auto"/>
                <w:highlight w:val="none"/>
              </w:rPr>
              <w:t>2、对本项目的管理方案，突发事件的处理措施、应急和配合预案一般，</w:t>
            </w:r>
            <w:r>
              <w:rPr>
                <w:rFonts w:hint="eastAsia" w:ascii="宋体" w:hAnsi="宋体" w:cs="宋体"/>
                <w:bCs/>
                <w:color w:val="auto"/>
                <w:highlight w:val="none"/>
              </w:rPr>
              <w:t>突发情况到场处理人员级别为项目负责人，</w:t>
            </w:r>
            <w:r>
              <w:rPr>
                <w:rFonts w:hint="eastAsia"/>
                <w:color w:val="auto"/>
                <w:highlight w:val="none"/>
              </w:rPr>
              <w:t>得</w:t>
            </w:r>
            <w:r>
              <w:rPr>
                <w:rFonts w:hint="eastAsia"/>
                <w:color w:val="auto"/>
                <w:highlight w:val="none"/>
                <w:lang w:val="en-US" w:eastAsia="zh-CN"/>
              </w:rPr>
              <w:t>1</w:t>
            </w:r>
            <w:r>
              <w:rPr>
                <w:rFonts w:hint="eastAsia"/>
                <w:color w:val="auto"/>
                <w:highlight w:val="none"/>
              </w:rPr>
              <w:t>分；</w:t>
            </w:r>
          </w:p>
          <w:p w14:paraId="2A49C552">
            <w:pPr>
              <w:snapToGrid w:val="0"/>
              <w:rPr>
                <w:color w:val="auto"/>
                <w:highlight w:val="none"/>
              </w:rPr>
            </w:pPr>
            <w:r>
              <w:rPr>
                <w:rFonts w:hint="eastAsia"/>
                <w:color w:val="auto"/>
                <w:highlight w:val="none"/>
              </w:rPr>
              <w:t>3、对本项目的管理方案，突发事件的处理措施、应急和配合预案较差，</w:t>
            </w:r>
            <w:r>
              <w:rPr>
                <w:rFonts w:hint="eastAsia" w:ascii="宋体" w:hAnsi="宋体" w:cs="宋体"/>
                <w:bCs/>
                <w:color w:val="auto"/>
                <w:highlight w:val="none"/>
              </w:rPr>
              <w:t>突发情况到场处理人员级别普通员工或不明确，</w:t>
            </w:r>
            <w:r>
              <w:rPr>
                <w:rFonts w:hint="eastAsia"/>
                <w:color w:val="auto"/>
                <w:highlight w:val="none"/>
              </w:rPr>
              <w:t>得</w:t>
            </w:r>
            <w:r>
              <w:rPr>
                <w:rFonts w:hint="eastAsia"/>
                <w:color w:val="auto"/>
                <w:highlight w:val="none"/>
                <w:lang w:val="en-US" w:eastAsia="zh-CN"/>
              </w:rPr>
              <w:t>0.5</w:t>
            </w:r>
            <w:r>
              <w:rPr>
                <w:rFonts w:hint="eastAsia"/>
                <w:color w:val="auto"/>
                <w:highlight w:val="none"/>
              </w:rPr>
              <w:t>分；</w:t>
            </w:r>
          </w:p>
          <w:p w14:paraId="3BC7EE36">
            <w:pPr>
              <w:rPr>
                <w:rFonts w:ascii="宋体" w:hAnsi="宋体"/>
                <w:highlight w:val="none"/>
              </w:rPr>
            </w:pPr>
            <w:r>
              <w:rPr>
                <w:rFonts w:hint="eastAsia"/>
                <w:color w:val="auto"/>
                <w:highlight w:val="none"/>
              </w:rPr>
              <w:t>4、不提供方案得0分。</w:t>
            </w:r>
          </w:p>
        </w:tc>
        <w:tc>
          <w:tcPr>
            <w:tcW w:w="709" w:type="dxa"/>
            <w:tcBorders>
              <w:right w:val="single" w:color="auto" w:sz="4" w:space="0"/>
            </w:tcBorders>
            <w:vAlign w:val="center"/>
          </w:tcPr>
          <w:p w14:paraId="5151858D">
            <w:pPr>
              <w:jc w:val="center"/>
              <w:rPr>
                <w:rFonts w:hAnsi="宋体"/>
                <w:bCs/>
                <w:highlight w:val="none"/>
              </w:rPr>
            </w:pPr>
            <w:r>
              <w:rPr>
                <w:rFonts w:hint="eastAsia" w:ascii="宋体" w:hAnsi="宋体" w:cs="宋体"/>
                <w:highlight w:val="none"/>
                <w:lang w:val="en-US" w:eastAsia="zh-CN"/>
              </w:rPr>
              <w:t>2</w:t>
            </w:r>
            <w:r>
              <w:rPr>
                <w:rFonts w:hint="eastAsia" w:ascii="宋体" w:hAnsi="宋体" w:cs="宋体"/>
                <w:highlight w:val="none"/>
              </w:rPr>
              <w:t>%</w:t>
            </w:r>
          </w:p>
        </w:tc>
        <w:tc>
          <w:tcPr>
            <w:tcW w:w="850" w:type="dxa"/>
            <w:tcBorders>
              <w:left w:val="single" w:color="auto" w:sz="4" w:space="0"/>
            </w:tcBorders>
            <w:vAlign w:val="center"/>
          </w:tcPr>
          <w:p w14:paraId="40F0CC89">
            <w:pPr>
              <w:jc w:val="center"/>
              <w:rPr>
                <w:rFonts w:ascii="宋体" w:hAnsi="宋体"/>
                <w:highlight w:val="none"/>
              </w:rPr>
            </w:pPr>
            <w:r>
              <w:rPr>
                <w:rFonts w:hint="eastAsia" w:ascii="宋体" w:hAnsi="宋体" w:cs="宋体"/>
                <w:highlight w:val="none"/>
                <w:lang w:val="en-US" w:eastAsia="zh-CN"/>
              </w:rPr>
              <w:t>2</w:t>
            </w:r>
            <w:r>
              <w:rPr>
                <w:rFonts w:hint="eastAsia" w:ascii="宋体" w:hAnsi="宋体" w:cs="宋体"/>
                <w:highlight w:val="none"/>
              </w:rPr>
              <w:t>分</w:t>
            </w:r>
          </w:p>
        </w:tc>
      </w:tr>
      <w:tr w14:paraId="72C029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3AB7F7F1">
            <w:pPr>
              <w:pStyle w:val="60"/>
              <w:numPr>
                <w:ilvl w:val="0"/>
                <w:numId w:val="11"/>
              </w:numPr>
              <w:ind w:firstLineChars="0"/>
              <w:jc w:val="center"/>
              <w:rPr>
                <w:rFonts w:ascii="宋体" w:hAnsi="宋体"/>
                <w:szCs w:val="21"/>
                <w:highlight w:val="none"/>
              </w:rPr>
            </w:pPr>
          </w:p>
        </w:tc>
        <w:tc>
          <w:tcPr>
            <w:tcW w:w="1509" w:type="dxa"/>
            <w:vAlign w:val="center"/>
          </w:tcPr>
          <w:p w14:paraId="2FE1A6F3">
            <w:pPr>
              <w:jc w:val="center"/>
              <w:rPr>
                <w:rFonts w:ascii="宋体" w:hAnsi="宋体"/>
                <w:highlight w:val="none"/>
              </w:rPr>
            </w:pPr>
            <w:r>
              <w:rPr>
                <w:rFonts w:hint="eastAsia" w:ascii="宋体" w:hAnsi="宋体" w:cs="宋体"/>
                <w:color w:val="auto"/>
                <w:szCs w:val="21"/>
              </w:rPr>
              <w:t>施工进度、质量保证措施</w:t>
            </w:r>
          </w:p>
        </w:tc>
        <w:tc>
          <w:tcPr>
            <w:tcW w:w="5437" w:type="dxa"/>
            <w:vAlign w:val="center"/>
          </w:tcPr>
          <w:p w14:paraId="0408DDA5">
            <w:pPr>
              <w:rPr>
                <w:rFonts w:ascii="宋体" w:hAnsi="宋体"/>
                <w:highlight w:val="none"/>
              </w:rPr>
            </w:pPr>
            <w:r>
              <w:rPr>
                <w:rFonts w:hint="eastAsia" w:ascii="宋体" w:hAnsi="宋体" w:cs="宋体"/>
                <w:color w:val="auto"/>
                <w:szCs w:val="21"/>
                <w:u w:val="none"/>
              </w:rPr>
              <w:t>评审内容：施工进度、质量目标是否明确；体系是否健全、控制措施的合理可行性及可操作性</w:t>
            </w:r>
            <w:r>
              <w:rPr>
                <w:rFonts w:hint="eastAsia" w:ascii="宋体" w:hAnsi="宋体" w:cs="宋体"/>
                <w:color w:val="auto"/>
                <w:szCs w:val="21"/>
                <w:u w:val="none"/>
                <w:lang w:eastAsia="zh-CN"/>
              </w:rPr>
              <w:t>（</w:t>
            </w:r>
            <w:r>
              <w:rPr>
                <w:rFonts w:hint="eastAsia" w:ascii="宋体" w:hAnsi="宋体" w:cs="宋体"/>
                <w:color w:val="auto"/>
                <w:szCs w:val="21"/>
                <w:u w:val="none"/>
                <w:lang w:val="en-US" w:eastAsia="zh-CN"/>
              </w:rPr>
              <w:t>按投标人提供的内容</w:t>
            </w:r>
            <w:r>
              <w:rPr>
                <w:rFonts w:hint="eastAsia" w:ascii="宋体" w:hAnsi="宋体" w:cs="宋体"/>
                <w:color w:val="auto"/>
                <w:szCs w:val="21"/>
                <w:u w:val="none"/>
              </w:rPr>
              <w:t>对比评审，视优劣程度酌情打</w:t>
            </w:r>
            <w:r>
              <w:rPr>
                <w:rFonts w:hint="eastAsia" w:ascii="宋体" w:hAnsi="宋体" w:cs="宋体"/>
                <w:color w:val="auto"/>
                <w:szCs w:val="21"/>
                <w:u w:val="none"/>
                <w:lang w:val="en-US" w:eastAsia="zh-CN"/>
              </w:rPr>
              <w:t>0-2分</w:t>
            </w:r>
            <w:r>
              <w:rPr>
                <w:rFonts w:hint="eastAsia" w:ascii="宋体" w:hAnsi="宋体" w:cs="宋体"/>
                <w:color w:val="auto"/>
                <w:szCs w:val="21"/>
                <w:u w:val="none"/>
                <w:lang w:eastAsia="zh-CN"/>
              </w:rPr>
              <w:t>）</w:t>
            </w:r>
            <w:r>
              <w:rPr>
                <w:rFonts w:hint="eastAsia" w:ascii="宋体" w:hAnsi="宋体" w:cs="宋体"/>
                <w:color w:val="auto"/>
                <w:szCs w:val="21"/>
                <w:u w:val="none"/>
              </w:rPr>
              <w:t>。</w:t>
            </w:r>
          </w:p>
        </w:tc>
        <w:tc>
          <w:tcPr>
            <w:tcW w:w="709" w:type="dxa"/>
            <w:tcBorders>
              <w:right w:val="single" w:color="auto" w:sz="4" w:space="0"/>
            </w:tcBorders>
            <w:vAlign w:val="center"/>
          </w:tcPr>
          <w:p w14:paraId="1ACFD537">
            <w:pPr>
              <w:jc w:val="center"/>
              <w:rPr>
                <w:rFonts w:hAnsi="宋体"/>
                <w:bCs/>
                <w:highlight w:val="none"/>
              </w:rPr>
            </w:pPr>
            <w:r>
              <w:rPr>
                <w:rFonts w:hint="eastAsia" w:ascii="宋体" w:hAnsi="宋体" w:cs="宋体"/>
                <w:highlight w:val="none"/>
                <w:lang w:val="en-US" w:eastAsia="zh-CN"/>
              </w:rPr>
              <w:t>2</w:t>
            </w:r>
            <w:r>
              <w:rPr>
                <w:rFonts w:hint="eastAsia" w:ascii="宋体" w:hAnsi="宋体" w:cs="宋体"/>
                <w:highlight w:val="none"/>
              </w:rPr>
              <w:t>%</w:t>
            </w:r>
          </w:p>
        </w:tc>
        <w:tc>
          <w:tcPr>
            <w:tcW w:w="850" w:type="dxa"/>
            <w:tcBorders>
              <w:left w:val="single" w:color="auto" w:sz="4" w:space="0"/>
            </w:tcBorders>
            <w:vAlign w:val="center"/>
          </w:tcPr>
          <w:p w14:paraId="1137DC19">
            <w:pPr>
              <w:jc w:val="center"/>
              <w:rPr>
                <w:rFonts w:ascii="宋体" w:hAnsi="宋体"/>
                <w:highlight w:val="none"/>
              </w:rPr>
            </w:pPr>
            <w:r>
              <w:rPr>
                <w:rFonts w:hint="eastAsia" w:ascii="宋体" w:hAnsi="宋体" w:cs="宋体"/>
                <w:highlight w:val="none"/>
                <w:lang w:val="en-US" w:eastAsia="zh-CN"/>
              </w:rPr>
              <w:t>2</w:t>
            </w:r>
            <w:r>
              <w:rPr>
                <w:rFonts w:hint="eastAsia" w:ascii="宋体" w:hAnsi="宋体" w:cs="宋体"/>
                <w:highlight w:val="none"/>
              </w:rPr>
              <w:t>分</w:t>
            </w:r>
          </w:p>
        </w:tc>
      </w:tr>
      <w:tr w14:paraId="4F1BB0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14D86C54">
            <w:pPr>
              <w:jc w:val="center"/>
              <w:rPr>
                <w:rFonts w:ascii="宋体" w:hAnsi="宋体"/>
                <w:b/>
                <w:highlight w:val="none"/>
              </w:rPr>
            </w:pPr>
            <w:r>
              <w:rPr>
                <w:rFonts w:hint="eastAsia" w:ascii="宋体" w:hAnsi="宋体"/>
                <w:b/>
                <w:highlight w:val="none"/>
              </w:rPr>
              <w:t>二</w:t>
            </w:r>
          </w:p>
        </w:tc>
        <w:tc>
          <w:tcPr>
            <w:tcW w:w="8505" w:type="dxa"/>
            <w:gridSpan w:val="4"/>
            <w:vAlign w:val="center"/>
          </w:tcPr>
          <w:p w14:paraId="02A8CDA0">
            <w:pPr>
              <w:ind w:left="-78" w:leftChars="-37" w:right="-73" w:rightChars="-35"/>
              <w:jc w:val="center"/>
              <w:rPr>
                <w:rFonts w:ascii="宋体" w:hAnsi="宋体" w:cs="宋体"/>
                <w:b/>
                <w:highlight w:val="none"/>
              </w:rPr>
            </w:pPr>
            <w:r>
              <w:rPr>
                <w:rFonts w:hint="eastAsia" w:ascii="宋体" w:hAnsi="宋体"/>
                <w:b/>
                <w:highlight w:val="none"/>
              </w:rPr>
              <w:t>商务部分</w:t>
            </w:r>
            <w:r>
              <w:rPr>
                <w:rFonts w:hint="eastAsia" w:ascii="宋体" w:hAnsi="宋体"/>
                <w:highlight w:val="none"/>
              </w:rPr>
              <w:t>(合计2</w:t>
            </w:r>
            <w:r>
              <w:rPr>
                <w:rFonts w:hint="eastAsia" w:ascii="宋体" w:hAnsi="宋体"/>
                <w:highlight w:val="none"/>
                <w:lang w:val="en-US" w:eastAsia="zh-CN"/>
              </w:rPr>
              <w:t>0</w:t>
            </w:r>
            <w:r>
              <w:rPr>
                <w:rFonts w:hint="eastAsia" w:ascii="宋体" w:hAnsi="宋体"/>
                <w:highlight w:val="none"/>
              </w:rPr>
              <w:t>分)</w:t>
            </w:r>
          </w:p>
        </w:tc>
      </w:tr>
      <w:tr w14:paraId="198C30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10" w:hRule="atLeast"/>
        </w:trPr>
        <w:tc>
          <w:tcPr>
            <w:tcW w:w="582" w:type="dxa"/>
            <w:tcBorders>
              <w:bottom w:val="single" w:color="auto" w:sz="4" w:space="0"/>
            </w:tcBorders>
            <w:vAlign w:val="center"/>
          </w:tcPr>
          <w:p w14:paraId="3CA542C8">
            <w:pPr>
              <w:pStyle w:val="60"/>
              <w:numPr>
                <w:ilvl w:val="0"/>
                <w:numId w:val="12"/>
              </w:numPr>
              <w:ind w:left="420" w:firstLineChars="0"/>
              <w:jc w:val="center"/>
              <w:rPr>
                <w:rFonts w:ascii="宋体" w:hAnsi="宋体"/>
                <w:szCs w:val="21"/>
                <w:highlight w:val="none"/>
              </w:rPr>
            </w:pPr>
          </w:p>
        </w:tc>
        <w:tc>
          <w:tcPr>
            <w:tcW w:w="1509" w:type="dxa"/>
            <w:vAlign w:val="center"/>
          </w:tcPr>
          <w:p w14:paraId="035A6471">
            <w:pPr>
              <w:rPr>
                <w:highlight w:val="none"/>
              </w:rPr>
            </w:pPr>
            <w:r>
              <w:rPr>
                <w:rFonts w:hint="eastAsia" w:ascii="宋体" w:hAnsi="宋体" w:cs="宋体"/>
                <w:bCs/>
                <w:color w:val="auto"/>
                <w:szCs w:val="21"/>
              </w:rPr>
              <w:t>企业管理体系</w:t>
            </w:r>
          </w:p>
        </w:tc>
        <w:tc>
          <w:tcPr>
            <w:tcW w:w="5437" w:type="dxa"/>
            <w:vAlign w:val="center"/>
          </w:tcPr>
          <w:p w14:paraId="08C56FC3">
            <w:pPr>
              <w:rPr>
                <w:color w:val="auto"/>
                <w:highlight w:val="none"/>
              </w:rPr>
            </w:pPr>
            <w:r>
              <w:rPr>
                <w:rFonts w:hint="eastAsia"/>
                <w:color w:val="auto"/>
                <w:highlight w:val="none"/>
              </w:rPr>
              <w:t>投标人具有以下由国家认证认可监督管理部门批准设立的认证机构颁发并在有效期内的证书，每提供一个得1分，最高得3分：</w:t>
            </w:r>
          </w:p>
          <w:p w14:paraId="7D29A150">
            <w:pPr>
              <w:rPr>
                <w:color w:val="auto"/>
                <w:highlight w:val="none"/>
              </w:rPr>
            </w:pPr>
            <w:r>
              <w:rPr>
                <w:rFonts w:hint="eastAsia"/>
                <w:color w:val="auto"/>
                <w:highlight w:val="none"/>
              </w:rPr>
              <w:t>(1)质量管理体系认证；</w:t>
            </w:r>
          </w:p>
          <w:p w14:paraId="7A14BD0B">
            <w:pPr>
              <w:rPr>
                <w:color w:val="auto"/>
                <w:highlight w:val="none"/>
              </w:rPr>
            </w:pPr>
            <w:r>
              <w:rPr>
                <w:rFonts w:hint="eastAsia"/>
                <w:color w:val="auto"/>
                <w:highlight w:val="none"/>
              </w:rPr>
              <w:t>(2)职业健康安全管理体系认证；</w:t>
            </w:r>
          </w:p>
          <w:p w14:paraId="2719EBE6">
            <w:pPr>
              <w:rPr>
                <w:color w:val="auto"/>
                <w:highlight w:val="none"/>
              </w:rPr>
            </w:pPr>
            <w:r>
              <w:rPr>
                <w:rFonts w:hint="eastAsia"/>
                <w:color w:val="auto"/>
                <w:highlight w:val="none"/>
              </w:rPr>
              <w:t>(3)环境管理体系认证。</w:t>
            </w:r>
          </w:p>
          <w:p w14:paraId="29CFC834">
            <w:pPr>
              <w:rPr>
                <w:highlight w:val="none"/>
              </w:rPr>
            </w:pPr>
            <w:r>
              <w:rPr>
                <w:rFonts w:hint="eastAsia"/>
                <w:color w:val="auto"/>
                <w:highlight w:val="none"/>
              </w:rPr>
              <w:t>注：须同时提供有效证书复印件及中国国家认证认可监督管理委员会官网查询截图加盖供应商公章。</w:t>
            </w:r>
          </w:p>
        </w:tc>
        <w:tc>
          <w:tcPr>
            <w:tcW w:w="709" w:type="dxa"/>
            <w:tcBorders>
              <w:right w:val="single" w:color="auto" w:sz="4" w:space="0"/>
            </w:tcBorders>
            <w:vAlign w:val="center"/>
          </w:tcPr>
          <w:p w14:paraId="751A4CA0">
            <w:pPr>
              <w:snapToGrid w:val="0"/>
              <w:contextualSpacing/>
              <w:jc w:val="center"/>
              <w:rPr>
                <w:rFonts w:ascii="宋体" w:hAnsi="宋体"/>
                <w:bCs/>
                <w:highlight w:val="none"/>
              </w:rPr>
            </w:pPr>
            <w:r>
              <w:rPr>
                <w:rFonts w:hint="eastAsia" w:ascii="宋体" w:hAnsi="宋体"/>
                <w:highlight w:val="none"/>
                <w:lang w:val="en-US" w:eastAsia="zh-CN"/>
              </w:rPr>
              <w:t>3</w:t>
            </w:r>
            <w:r>
              <w:rPr>
                <w:rFonts w:hint="eastAsia" w:ascii="宋体" w:hAnsi="宋体"/>
                <w:highlight w:val="none"/>
              </w:rPr>
              <w:t>%</w:t>
            </w:r>
          </w:p>
        </w:tc>
        <w:tc>
          <w:tcPr>
            <w:tcW w:w="850" w:type="dxa"/>
            <w:tcBorders>
              <w:left w:val="single" w:color="auto" w:sz="4" w:space="0"/>
            </w:tcBorders>
            <w:vAlign w:val="center"/>
          </w:tcPr>
          <w:p w14:paraId="15BD48C9">
            <w:pPr>
              <w:snapToGrid w:val="0"/>
              <w:contextualSpacing/>
              <w:jc w:val="center"/>
              <w:rPr>
                <w:rFonts w:ascii="宋体" w:hAnsi="宋体"/>
                <w:bCs/>
                <w:highlight w:val="none"/>
              </w:rPr>
            </w:pPr>
            <w:r>
              <w:rPr>
                <w:rFonts w:hint="eastAsia" w:ascii="宋体" w:hAnsi="宋体"/>
                <w:highlight w:val="none"/>
                <w:lang w:val="en-US" w:eastAsia="zh-CN"/>
              </w:rPr>
              <w:t>3</w:t>
            </w:r>
            <w:r>
              <w:rPr>
                <w:rFonts w:hint="eastAsia" w:ascii="宋体" w:hAnsi="宋体"/>
                <w:highlight w:val="none"/>
              </w:rPr>
              <w:t>分</w:t>
            </w:r>
          </w:p>
        </w:tc>
      </w:tr>
      <w:tr w14:paraId="23C4D7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09F73169">
            <w:pPr>
              <w:pStyle w:val="60"/>
              <w:numPr>
                <w:ilvl w:val="0"/>
                <w:numId w:val="12"/>
              </w:numPr>
              <w:ind w:left="420" w:firstLineChars="0"/>
              <w:jc w:val="center"/>
              <w:rPr>
                <w:rFonts w:ascii="宋体" w:hAnsi="宋体"/>
                <w:szCs w:val="21"/>
                <w:highlight w:val="none"/>
              </w:rPr>
            </w:pPr>
          </w:p>
        </w:tc>
        <w:tc>
          <w:tcPr>
            <w:tcW w:w="1509" w:type="dxa"/>
            <w:vAlign w:val="center"/>
          </w:tcPr>
          <w:p w14:paraId="0925ACF5">
            <w:pPr>
              <w:rPr>
                <w:highlight w:val="none"/>
              </w:rPr>
            </w:pPr>
            <w:r>
              <w:rPr>
                <w:rFonts w:hint="eastAsia"/>
                <w:highlight w:val="none"/>
              </w:rPr>
              <w:t>企业财务状况</w:t>
            </w:r>
          </w:p>
        </w:tc>
        <w:tc>
          <w:tcPr>
            <w:tcW w:w="5437" w:type="dxa"/>
            <w:vAlign w:val="center"/>
          </w:tcPr>
          <w:p w14:paraId="0192F43A">
            <w:pPr>
              <w:rPr>
                <w:rFonts w:hint="eastAsia" w:ascii="宋体" w:hAnsi="宋体" w:cs="宋体"/>
                <w:color w:val="auto"/>
              </w:rPr>
            </w:pPr>
            <w:r>
              <w:rPr>
                <w:rFonts w:hint="eastAsia" w:ascii="宋体" w:hAnsi="宋体" w:cs="宋体"/>
                <w:color w:val="auto"/>
                <w:szCs w:val="21"/>
              </w:rPr>
              <w:t>投标人近三年（</w:t>
            </w:r>
            <w:r>
              <w:rPr>
                <w:rFonts w:hint="eastAsia" w:ascii="宋体" w:hAnsi="宋体" w:cs="宋体"/>
                <w:color w:val="auto"/>
                <w:szCs w:val="21"/>
                <w:u w:val="single"/>
              </w:rPr>
              <w:t>20</w:t>
            </w:r>
            <w:r>
              <w:rPr>
                <w:rFonts w:hint="eastAsia" w:ascii="宋体" w:hAnsi="宋体" w:cs="宋体"/>
                <w:color w:val="auto"/>
                <w:szCs w:val="21"/>
                <w:u w:val="single"/>
                <w:lang w:val="en-US" w:eastAsia="zh-CN"/>
              </w:rPr>
              <w:t xml:space="preserve">21  </w:t>
            </w:r>
            <w:r>
              <w:rPr>
                <w:rFonts w:hint="eastAsia" w:ascii="宋体" w:hAnsi="宋体" w:cs="宋体"/>
                <w:color w:val="auto"/>
                <w:szCs w:val="21"/>
                <w:u w:val="single"/>
              </w:rPr>
              <w:t>、20</w:t>
            </w:r>
            <w:r>
              <w:rPr>
                <w:rFonts w:hint="eastAsia" w:ascii="宋体" w:hAnsi="宋体" w:cs="宋体"/>
                <w:color w:val="auto"/>
                <w:szCs w:val="21"/>
                <w:u w:val="single"/>
                <w:lang w:val="en-US" w:eastAsia="zh-CN"/>
              </w:rPr>
              <w:t xml:space="preserve">22  </w:t>
            </w:r>
            <w:r>
              <w:rPr>
                <w:rFonts w:hint="eastAsia" w:ascii="宋体" w:hAnsi="宋体" w:cs="宋体"/>
                <w:color w:val="auto"/>
                <w:szCs w:val="21"/>
                <w:u w:val="single"/>
              </w:rPr>
              <w:t>、20</w:t>
            </w:r>
            <w:r>
              <w:rPr>
                <w:rFonts w:hint="eastAsia" w:ascii="宋体" w:hAnsi="宋体" w:cs="宋体"/>
                <w:color w:val="auto"/>
                <w:szCs w:val="21"/>
                <w:u w:val="single"/>
                <w:lang w:val="en-US" w:eastAsia="zh-CN"/>
              </w:rPr>
              <w:t xml:space="preserve">23 </w:t>
            </w:r>
            <w:r>
              <w:rPr>
                <w:rFonts w:hint="eastAsia" w:ascii="宋体" w:hAnsi="宋体" w:cs="宋体"/>
                <w:color w:val="auto"/>
                <w:szCs w:val="21"/>
                <w:u w:val="single"/>
              </w:rPr>
              <w:t>年</w:t>
            </w:r>
            <w:r>
              <w:rPr>
                <w:rFonts w:hint="eastAsia" w:ascii="宋体" w:hAnsi="宋体" w:cs="宋体"/>
                <w:color w:val="auto"/>
                <w:szCs w:val="21"/>
              </w:rPr>
              <w:t>）均盈利的前提下，</w:t>
            </w:r>
            <w:r>
              <w:rPr>
                <w:rFonts w:hint="eastAsia" w:ascii="宋体" w:hAnsi="宋体" w:cs="宋体"/>
                <w:color w:val="auto"/>
              </w:rPr>
              <w:t>近3年累计净利润排名</w:t>
            </w:r>
            <w:r>
              <w:rPr>
                <w:rFonts w:hint="eastAsia" w:ascii="宋体" w:hAnsi="宋体" w:cs="宋体"/>
                <w:color w:val="auto"/>
                <w:lang w:val="en-US" w:eastAsia="zh-CN"/>
              </w:rPr>
              <w:t>第一</w:t>
            </w:r>
            <w:r>
              <w:rPr>
                <w:rFonts w:hint="eastAsia" w:ascii="宋体" w:hAnsi="宋体" w:cs="宋体"/>
                <w:color w:val="auto"/>
              </w:rPr>
              <w:t>的，得</w:t>
            </w:r>
            <w:r>
              <w:rPr>
                <w:rFonts w:hint="eastAsia" w:ascii="宋体" w:hAnsi="宋体" w:cs="宋体"/>
                <w:color w:val="auto"/>
                <w:lang w:val="en-US" w:eastAsia="zh-CN"/>
              </w:rPr>
              <w:t>3</w:t>
            </w:r>
            <w:r>
              <w:rPr>
                <w:rFonts w:hint="eastAsia" w:ascii="宋体" w:hAnsi="宋体" w:cs="宋体"/>
                <w:color w:val="auto"/>
              </w:rPr>
              <w:t>分；</w:t>
            </w:r>
          </w:p>
          <w:p w14:paraId="51E5E481">
            <w:pPr>
              <w:rPr>
                <w:rFonts w:hint="eastAsia" w:ascii="宋体" w:hAnsi="宋体" w:cs="宋体"/>
                <w:color w:val="auto"/>
              </w:rPr>
            </w:pPr>
            <w:r>
              <w:rPr>
                <w:rFonts w:hint="eastAsia" w:ascii="宋体" w:hAnsi="宋体" w:cs="宋体"/>
                <w:color w:val="auto"/>
              </w:rPr>
              <w:t>近3年累计净利润排名</w:t>
            </w:r>
            <w:r>
              <w:rPr>
                <w:rFonts w:hint="eastAsia" w:ascii="宋体" w:hAnsi="宋体" w:cs="宋体"/>
                <w:color w:val="auto"/>
                <w:lang w:val="en-US" w:eastAsia="zh-CN"/>
              </w:rPr>
              <w:t>第二</w:t>
            </w:r>
            <w:r>
              <w:rPr>
                <w:rFonts w:hint="eastAsia" w:ascii="宋体" w:hAnsi="宋体" w:cs="宋体"/>
                <w:color w:val="auto"/>
              </w:rPr>
              <w:t>的，得</w:t>
            </w:r>
            <w:r>
              <w:rPr>
                <w:rFonts w:hint="eastAsia" w:ascii="宋体" w:hAnsi="宋体" w:cs="宋体"/>
                <w:color w:val="auto"/>
                <w:lang w:val="en-US" w:eastAsia="zh-CN"/>
              </w:rPr>
              <w:t>2</w:t>
            </w:r>
            <w:r>
              <w:rPr>
                <w:rFonts w:hint="eastAsia" w:ascii="宋体" w:hAnsi="宋体" w:cs="宋体"/>
                <w:color w:val="auto"/>
              </w:rPr>
              <w:t>分；</w:t>
            </w:r>
          </w:p>
          <w:p w14:paraId="7224FFD9">
            <w:pPr>
              <w:rPr>
                <w:rFonts w:hint="eastAsia" w:ascii="宋体" w:hAnsi="宋体" w:cs="宋体"/>
                <w:color w:val="auto"/>
              </w:rPr>
            </w:pPr>
            <w:r>
              <w:rPr>
                <w:rFonts w:hint="eastAsia" w:ascii="宋体" w:hAnsi="宋体" w:cs="宋体"/>
                <w:color w:val="auto"/>
              </w:rPr>
              <w:t>近3年累计净利润排名</w:t>
            </w:r>
            <w:r>
              <w:rPr>
                <w:rFonts w:hint="eastAsia" w:ascii="宋体" w:hAnsi="宋体" w:cs="宋体"/>
                <w:color w:val="auto"/>
                <w:lang w:val="en-US" w:eastAsia="zh-CN"/>
              </w:rPr>
              <w:t>第三及之后</w:t>
            </w:r>
            <w:r>
              <w:rPr>
                <w:rFonts w:hint="eastAsia" w:ascii="宋体" w:hAnsi="宋体" w:cs="宋体"/>
                <w:color w:val="auto"/>
              </w:rPr>
              <w:t>的，得</w:t>
            </w:r>
            <w:r>
              <w:rPr>
                <w:rFonts w:hint="eastAsia" w:ascii="宋体" w:hAnsi="宋体" w:cs="宋体"/>
                <w:color w:val="auto"/>
                <w:lang w:val="en-US" w:eastAsia="zh-CN"/>
              </w:rPr>
              <w:t>1</w:t>
            </w:r>
            <w:r>
              <w:rPr>
                <w:rFonts w:hint="eastAsia" w:ascii="宋体" w:hAnsi="宋体" w:cs="宋体"/>
                <w:color w:val="auto"/>
              </w:rPr>
              <w:t>分；</w:t>
            </w:r>
          </w:p>
          <w:p w14:paraId="469B2E2E">
            <w:pPr>
              <w:pStyle w:val="36"/>
              <w:ind w:left="0" w:leftChars="0" w:firstLine="0" w:firstLineChars="0"/>
              <w:rPr>
                <w:color w:val="auto"/>
              </w:rPr>
            </w:pPr>
            <w:r>
              <w:rPr>
                <w:rFonts w:hint="eastAsia" w:ascii="宋体" w:hAnsi="宋体" w:cs="宋体"/>
                <w:color w:val="auto"/>
                <w:lang w:val="en-US" w:eastAsia="zh-CN"/>
              </w:rPr>
              <w:t>其他情况不得分</w:t>
            </w:r>
          </w:p>
          <w:p w14:paraId="0C7FB6CC">
            <w:pPr>
              <w:pStyle w:val="36"/>
              <w:rPr>
                <w:color w:val="auto"/>
              </w:rPr>
            </w:pPr>
          </w:p>
          <w:p w14:paraId="5B52E843">
            <w:pPr>
              <w:rPr>
                <w:highlight w:val="none"/>
              </w:rPr>
            </w:pPr>
            <w:r>
              <w:rPr>
                <w:rFonts w:hint="eastAsia" w:ascii="宋体" w:hAnsi="宋体" w:cs="宋体"/>
                <w:color w:val="auto"/>
                <w:szCs w:val="21"/>
              </w:rPr>
              <w:t>（以投标人提供</w:t>
            </w:r>
            <w:r>
              <w:rPr>
                <w:rFonts w:hint="eastAsia" w:ascii="宋体" w:hAnsi="宋体" w:cs="宋体"/>
                <w:color w:val="auto"/>
              </w:rPr>
              <w:t>以会计师事务所审计的财务报表</w:t>
            </w:r>
            <w:r>
              <w:rPr>
                <w:rFonts w:hint="eastAsia" w:ascii="宋体" w:hAnsi="宋体" w:cs="宋体"/>
                <w:color w:val="auto"/>
                <w:lang w:val="en-US" w:eastAsia="zh-CN"/>
              </w:rPr>
              <w:t>复印件</w:t>
            </w:r>
            <w:r>
              <w:rPr>
                <w:rFonts w:hint="eastAsia" w:ascii="宋体" w:hAnsi="宋体" w:cs="宋体"/>
                <w:bCs/>
                <w:color w:val="auto"/>
                <w:szCs w:val="21"/>
              </w:rPr>
              <w:t>作为评审依据</w:t>
            </w:r>
            <w:r>
              <w:rPr>
                <w:rFonts w:hint="eastAsia" w:ascii="宋体" w:hAnsi="宋体" w:cs="宋体"/>
                <w:color w:val="auto"/>
                <w:szCs w:val="21"/>
              </w:rPr>
              <w:t>；）</w:t>
            </w:r>
          </w:p>
        </w:tc>
        <w:tc>
          <w:tcPr>
            <w:tcW w:w="709" w:type="dxa"/>
            <w:tcBorders>
              <w:right w:val="single" w:color="auto" w:sz="4" w:space="0"/>
            </w:tcBorders>
            <w:vAlign w:val="center"/>
          </w:tcPr>
          <w:p w14:paraId="6DB338B3">
            <w:pPr>
              <w:snapToGrid w:val="0"/>
              <w:contextualSpacing/>
              <w:jc w:val="center"/>
              <w:rPr>
                <w:rFonts w:ascii="宋体" w:hAnsi="宋体"/>
                <w:bCs/>
                <w:highlight w:val="none"/>
              </w:rPr>
            </w:pPr>
            <w:r>
              <w:rPr>
                <w:rFonts w:hint="eastAsia" w:ascii="宋体" w:hAnsi="宋体"/>
                <w:bCs/>
                <w:highlight w:val="none"/>
                <w:lang w:val="en-US" w:eastAsia="zh-CN"/>
              </w:rPr>
              <w:t>3</w:t>
            </w:r>
            <w:r>
              <w:rPr>
                <w:rFonts w:hint="eastAsia" w:ascii="宋体" w:hAnsi="宋体"/>
                <w:bCs/>
                <w:highlight w:val="none"/>
              </w:rPr>
              <w:t>%</w:t>
            </w:r>
          </w:p>
        </w:tc>
        <w:tc>
          <w:tcPr>
            <w:tcW w:w="850" w:type="dxa"/>
            <w:tcBorders>
              <w:left w:val="single" w:color="auto" w:sz="4" w:space="0"/>
            </w:tcBorders>
            <w:vAlign w:val="center"/>
          </w:tcPr>
          <w:p w14:paraId="5E37F948">
            <w:pPr>
              <w:snapToGrid w:val="0"/>
              <w:contextualSpacing/>
              <w:jc w:val="center"/>
              <w:rPr>
                <w:rFonts w:ascii="宋体" w:hAnsi="宋体"/>
                <w:bCs/>
                <w:highlight w:val="none"/>
              </w:rPr>
            </w:pPr>
            <w:r>
              <w:rPr>
                <w:rFonts w:hint="eastAsia" w:ascii="宋体" w:hAnsi="宋体"/>
                <w:highlight w:val="none"/>
                <w:lang w:val="en-US" w:eastAsia="zh-CN"/>
              </w:rPr>
              <w:t>3</w:t>
            </w:r>
            <w:r>
              <w:rPr>
                <w:rFonts w:hint="eastAsia" w:ascii="宋体" w:hAnsi="宋体"/>
                <w:highlight w:val="none"/>
              </w:rPr>
              <w:t>分</w:t>
            </w:r>
          </w:p>
        </w:tc>
      </w:tr>
      <w:tr w14:paraId="048B02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1879CEBB">
            <w:pPr>
              <w:pStyle w:val="60"/>
              <w:numPr>
                <w:ilvl w:val="0"/>
                <w:numId w:val="12"/>
              </w:numPr>
              <w:ind w:left="420" w:firstLineChars="0"/>
              <w:jc w:val="center"/>
              <w:rPr>
                <w:rFonts w:ascii="宋体" w:hAnsi="宋体"/>
                <w:szCs w:val="21"/>
                <w:highlight w:val="none"/>
              </w:rPr>
            </w:pPr>
          </w:p>
        </w:tc>
        <w:tc>
          <w:tcPr>
            <w:tcW w:w="1509" w:type="dxa"/>
            <w:vAlign w:val="center"/>
          </w:tcPr>
          <w:p w14:paraId="152C5975">
            <w:pPr>
              <w:rPr>
                <w:rFonts w:hint="eastAsia"/>
                <w:highlight w:val="none"/>
              </w:rPr>
            </w:pPr>
            <w:r>
              <w:rPr>
                <w:rFonts w:hint="eastAsia" w:ascii="宋体" w:hAnsi="宋体" w:cs="宋体"/>
                <w:bCs/>
                <w:color w:val="auto"/>
                <w:szCs w:val="21"/>
              </w:rPr>
              <w:t>企业信誉及获奖情况</w:t>
            </w:r>
          </w:p>
        </w:tc>
        <w:tc>
          <w:tcPr>
            <w:tcW w:w="5437" w:type="dxa"/>
            <w:vAlign w:val="center"/>
          </w:tcPr>
          <w:p w14:paraId="4EE2806D">
            <w:pPr>
              <w:spacing w:line="360" w:lineRule="auto"/>
              <w:rPr>
                <w:rFonts w:ascii="宋体" w:hAnsi="宋体" w:cs="宋体"/>
                <w:color w:val="auto"/>
                <w:szCs w:val="21"/>
              </w:rPr>
            </w:pPr>
            <w:r>
              <w:rPr>
                <w:rFonts w:hint="eastAsia" w:ascii="宋体" w:hAnsi="宋体" w:cs="宋体"/>
                <w:color w:val="auto"/>
              </w:rPr>
              <w:t>投标人自</w:t>
            </w:r>
            <w:r>
              <w:rPr>
                <w:rFonts w:hint="eastAsia" w:ascii="宋体" w:hAnsi="宋体" w:cs="宋体"/>
                <w:color w:val="auto"/>
                <w:u w:val="single"/>
              </w:rPr>
              <w:t>20</w:t>
            </w:r>
            <w:r>
              <w:rPr>
                <w:rFonts w:hint="eastAsia" w:ascii="宋体" w:hAnsi="宋体" w:cs="宋体"/>
                <w:color w:val="auto"/>
                <w:u w:val="single"/>
                <w:lang w:val="en-US" w:eastAsia="zh-CN"/>
              </w:rPr>
              <w:t>19</w:t>
            </w:r>
            <w:r>
              <w:rPr>
                <w:rFonts w:hint="eastAsia" w:ascii="宋体" w:hAnsi="宋体" w:cs="宋体"/>
                <w:color w:val="auto"/>
                <w:u w:val="single"/>
              </w:rPr>
              <w:t>年</w:t>
            </w:r>
            <w:r>
              <w:rPr>
                <w:rFonts w:hint="eastAsia" w:ascii="宋体" w:hAnsi="宋体" w:cs="宋体"/>
                <w:color w:val="auto"/>
                <w:u w:val="single"/>
                <w:lang w:val="en-US" w:eastAsia="zh-CN"/>
              </w:rPr>
              <w:t>1</w:t>
            </w:r>
            <w:r>
              <w:rPr>
                <w:rFonts w:hint="eastAsia" w:ascii="宋体" w:hAnsi="宋体" w:cs="宋体"/>
                <w:color w:val="auto"/>
                <w:u w:val="single"/>
              </w:rPr>
              <w:t>月</w:t>
            </w:r>
            <w:r>
              <w:rPr>
                <w:rFonts w:hint="eastAsia" w:ascii="宋体" w:hAnsi="宋体" w:cs="宋体"/>
                <w:color w:val="auto"/>
                <w:u w:val="single"/>
                <w:lang w:val="en-US" w:eastAsia="zh-CN"/>
              </w:rPr>
              <w:t>1</w:t>
            </w:r>
            <w:r>
              <w:rPr>
                <w:rFonts w:hint="eastAsia" w:ascii="宋体" w:hAnsi="宋体" w:cs="宋体"/>
                <w:color w:val="auto"/>
                <w:u w:val="single"/>
              </w:rPr>
              <w:t>日</w:t>
            </w:r>
            <w:r>
              <w:rPr>
                <w:rFonts w:hint="eastAsia" w:ascii="宋体" w:hAnsi="宋体" w:cs="宋体"/>
                <w:color w:val="auto"/>
              </w:rPr>
              <w:t>至今承接过的类似项目业绩</w:t>
            </w:r>
            <w:r>
              <w:rPr>
                <w:rFonts w:hint="eastAsia" w:ascii="宋体" w:hAnsi="宋体" w:cs="宋体"/>
                <w:color w:val="auto"/>
                <w:szCs w:val="21"/>
              </w:rPr>
              <w:t>获得奖项的：</w:t>
            </w:r>
          </w:p>
          <w:p w14:paraId="22005D36">
            <w:pPr>
              <w:rPr>
                <w:rFonts w:ascii="宋体" w:hAnsi="宋体" w:cs="宋体"/>
                <w:color w:val="auto"/>
              </w:rPr>
            </w:pPr>
            <w:r>
              <w:rPr>
                <w:rFonts w:hint="eastAsia" w:ascii="宋体" w:hAnsi="宋体" w:cs="宋体"/>
                <w:color w:val="auto"/>
              </w:rPr>
              <w:t>①</w:t>
            </w:r>
            <w:r>
              <w:rPr>
                <w:rFonts w:hint="eastAsia" w:ascii="宋体" w:hAnsi="宋体" w:cs="宋体"/>
                <w:color w:val="auto"/>
                <w:szCs w:val="21"/>
              </w:rPr>
              <w:t>获得省级建设行政主管部门或省级行业协会颁发奖项的，每项得</w:t>
            </w:r>
            <w:r>
              <w:rPr>
                <w:rFonts w:hint="eastAsia" w:ascii="宋体" w:hAnsi="宋体" w:cs="宋体"/>
                <w:color w:val="auto"/>
                <w:szCs w:val="21"/>
                <w:lang w:val="en-US" w:eastAsia="zh-CN"/>
              </w:rPr>
              <w:t>1</w:t>
            </w:r>
            <w:r>
              <w:rPr>
                <w:rFonts w:hint="eastAsia" w:ascii="宋体" w:hAnsi="宋体" w:cs="宋体"/>
                <w:color w:val="auto"/>
                <w:szCs w:val="21"/>
              </w:rPr>
              <w:t>分，本项最高得</w:t>
            </w:r>
            <w:r>
              <w:rPr>
                <w:rFonts w:hint="eastAsia" w:ascii="宋体" w:hAnsi="宋体" w:cs="宋体"/>
                <w:color w:val="auto"/>
                <w:szCs w:val="21"/>
                <w:lang w:val="en-US" w:eastAsia="zh-CN"/>
              </w:rPr>
              <w:t>2</w:t>
            </w:r>
            <w:r>
              <w:rPr>
                <w:rFonts w:hint="eastAsia" w:ascii="宋体" w:hAnsi="宋体" w:cs="宋体"/>
                <w:color w:val="auto"/>
                <w:szCs w:val="21"/>
              </w:rPr>
              <w:t>分。</w:t>
            </w:r>
          </w:p>
          <w:p w14:paraId="0184976E">
            <w:pPr>
              <w:rPr>
                <w:rFonts w:hint="eastAsia"/>
                <w:highlight w:val="none"/>
              </w:rPr>
            </w:pPr>
            <w:r>
              <w:rPr>
                <w:rFonts w:hint="eastAsia" w:ascii="宋体" w:hAnsi="宋体" w:cs="宋体"/>
                <w:color w:val="auto"/>
                <w:szCs w:val="21"/>
              </w:rPr>
              <w:t>注：①颁发单位包括行政区政府、建设行政主管部门或行业协会；②获奖时间以获奖证书颁发时间或网上公示获奖时间为准；③需提供获奖证书</w:t>
            </w:r>
            <w:r>
              <w:rPr>
                <w:rFonts w:hint="eastAsia" w:ascii="宋体" w:hAnsi="宋体" w:cs="宋体"/>
                <w:color w:val="auto"/>
                <w:szCs w:val="21"/>
                <w:lang w:val="en-US" w:eastAsia="zh-CN"/>
              </w:rPr>
              <w:t>复印件</w:t>
            </w:r>
            <w:r>
              <w:rPr>
                <w:rFonts w:hint="eastAsia" w:ascii="宋体" w:hAnsi="宋体" w:cs="宋体"/>
                <w:color w:val="auto"/>
                <w:szCs w:val="21"/>
              </w:rPr>
              <w:t xml:space="preserve">或网上公示获奖页面截图凭证、得奖项目不重复记分； </w:t>
            </w:r>
          </w:p>
        </w:tc>
        <w:tc>
          <w:tcPr>
            <w:tcW w:w="709" w:type="dxa"/>
            <w:tcBorders>
              <w:right w:val="single" w:color="auto" w:sz="4" w:space="0"/>
            </w:tcBorders>
            <w:vAlign w:val="center"/>
          </w:tcPr>
          <w:p w14:paraId="26EC8DAF">
            <w:pPr>
              <w:snapToGrid w:val="0"/>
              <w:contextualSpacing/>
              <w:jc w:val="center"/>
              <w:rPr>
                <w:rFonts w:hint="default" w:ascii="宋体" w:hAnsi="宋体" w:eastAsia="宋体"/>
                <w:bCs/>
                <w:highlight w:val="none"/>
                <w:lang w:val="en-US" w:eastAsia="zh-CN"/>
              </w:rPr>
            </w:pPr>
            <w:r>
              <w:rPr>
                <w:rFonts w:hint="eastAsia" w:ascii="宋体" w:hAnsi="宋体"/>
                <w:bCs/>
                <w:highlight w:val="none"/>
                <w:lang w:val="en-US" w:eastAsia="zh-CN"/>
              </w:rPr>
              <w:t>2%</w:t>
            </w:r>
          </w:p>
        </w:tc>
        <w:tc>
          <w:tcPr>
            <w:tcW w:w="850" w:type="dxa"/>
            <w:tcBorders>
              <w:left w:val="single" w:color="auto" w:sz="4" w:space="0"/>
            </w:tcBorders>
            <w:vAlign w:val="center"/>
          </w:tcPr>
          <w:p w14:paraId="3D2F1A54">
            <w:pPr>
              <w:snapToGrid w:val="0"/>
              <w:contextualSpacing/>
              <w:jc w:val="center"/>
              <w:rPr>
                <w:rFonts w:hint="default" w:ascii="宋体" w:hAnsi="宋体" w:eastAsia="宋体"/>
                <w:highlight w:val="none"/>
                <w:lang w:val="en-US" w:eastAsia="zh-CN"/>
              </w:rPr>
            </w:pPr>
            <w:r>
              <w:rPr>
                <w:rFonts w:hint="eastAsia" w:ascii="宋体" w:hAnsi="宋体"/>
                <w:highlight w:val="none"/>
                <w:lang w:val="en-US" w:eastAsia="zh-CN"/>
              </w:rPr>
              <w:t>2分</w:t>
            </w:r>
          </w:p>
        </w:tc>
      </w:tr>
      <w:tr w14:paraId="4DB496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FB32BD6">
            <w:pPr>
              <w:pStyle w:val="60"/>
              <w:numPr>
                <w:ilvl w:val="0"/>
                <w:numId w:val="12"/>
              </w:numPr>
              <w:ind w:left="420" w:firstLineChars="0"/>
              <w:jc w:val="center"/>
              <w:rPr>
                <w:rFonts w:ascii="宋体" w:hAnsi="宋体"/>
                <w:szCs w:val="21"/>
                <w:highlight w:val="none"/>
              </w:rPr>
            </w:pPr>
          </w:p>
        </w:tc>
        <w:tc>
          <w:tcPr>
            <w:tcW w:w="1509" w:type="dxa"/>
            <w:vAlign w:val="center"/>
          </w:tcPr>
          <w:p w14:paraId="57B2C12A">
            <w:pPr>
              <w:rPr>
                <w:rFonts w:hint="eastAsia" w:ascii="宋体" w:hAnsi="宋体" w:cs="宋体"/>
                <w:color w:val="000000"/>
              </w:rPr>
            </w:pPr>
            <w:r>
              <w:rPr>
                <w:rFonts w:hint="eastAsia" w:ascii="宋体" w:hAnsi="宋体" w:cs="宋体"/>
                <w:color w:val="auto"/>
                <w:szCs w:val="21"/>
              </w:rPr>
              <w:t>企业类似业绩</w:t>
            </w:r>
          </w:p>
        </w:tc>
        <w:tc>
          <w:tcPr>
            <w:tcW w:w="5437" w:type="dxa"/>
            <w:vAlign w:val="center"/>
          </w:tcPr>
          <w:p w14:paraId="5850CEC4">
            <w:pPr>
              <w:rPr>
                <w:highlight w:val="none"/>
              </w:rPr>
            </w:pPr>
            <w:r>
              <w:rPr>
                <w:rFonts w:hint="eastAsia"/>
                <w:highlight w:val="none"/>
              </w:rPr>
              <w:t>投标人自201</w:t>
            </w:r>
            <w:r>
              <w:rPr>
                <w:rFonts w:hint="eastAsia"/>
                <w:highlight w:val="none"/>
                <w:lang w:val="en-US" w:eastAsia="zh-CN"/>
              </w:rPr>
              <w:t>9</w:t>
            </w:r>
            <w:r>
              <w:rPr>
                <w:rFonts w:hint="eastAsia"/>
                <w:highlight w:val="none"/>
              </w:rPr>
              <w:t>年01月01日至今承接过装修、装饰类工程：</w:t>
            </w:r>
          </w:p>
          <w:p w14:paraId="4838C959">
            <w:pPr>
              <w:rPr>
                <w:highlight w:val="none"/>
              </w:rPr>
            </w:pPr>
            <w:r>
              <w:rPr>
                <w:rFonts w:hint="eastAsia"/>
                <w:highlight w:val="none"/>
              </w:rPr>
              <w:t>1、单项合同金额</w:t>
            </w:r>
            <w:r>
              <w:rPr>
                <w:rFonts w:hint="eastAsia"/>
                <w:highlight w:val="none"/>
                <w:lang w:val="en-US" w:eastAsia="zh-CN"/>
              </w:rPr>
              <w:t>50</w:t>
            </w:r>
            <w:r>
              <w:rPr>
                <w:rFonts w:hint="eastAsia"/>
                <w:highlight w:val="none"/>
              </w:rPr>
              <w:t>万元以上（含），</w:t>
            </w:r>
            <w:r>
              <w:rPr>
                <w:rFonts w:hint="eastAsia"/>
                <w:highlight w:val="none"/>
                <w:lang w:val="en-US" w:eastAsia="zh-CN"/>
              </w:rPr>
              <w:t>10</w:t>
            </w:r>
            <w:r>
              <w:rPr>
                <w:rFonts w:hint="eastAsia"/>
                <w:highlight w:val="none"/>
              </w:rPr>
              <w:t>0万元（含）以</w:t>
            </w:r>
            <w:r>
              <w:rPr>
                <w:rFonts w:hint="eastAsia"/>
                <w:highlight w:val="none"/>
                <w:lang w:val="en-US" w:eastAsia="zh-CN"/>
              </w:rPr>
              <w:t>下</w:t>
            </w:r>
            <w:r>
              <w:rPr>
                <w:rFonts w:hint="eastAsia"/>
                <w:highlight w:val="none"/>
              </w:rPr>
              <w:t>的每个业绩得</w:t>
            </w:r>
            <w:r>
              <w:rPr>
                <w:rFonts w:hint="eastAsia"/>
                <w:highlight w:val="none"/>
                <w:lang w:val="en-US" w:eastAsia="zh-CN"/>
              </w:rPr>
              <w:t>0.5</w:t>
            </w:r>
            <w:r>
              <w:rPr>
                <w:rFonts w:hint="eastAsia"/>
                <w:highlight w:val="none"/>
              </w:rPr>
              <w:t>分。</w:t>
            </w:r>
          </w:p>
          <w:p w14:paraId="4A9028F4">
            <w:pPr>
              <w:rPr>
                <w:highlight w:val="none"/>
              </w:rPr>
            </w:pPr>
            <w:r>
              <w:rPr>
                <w:rFonts w:hint="eastAsia"/>
                <w:highlight w:val="none"/>
              </w:rPr>
              <w:t>2、单项合同金额</w:t>
            </w:r>
            <w:r>
              <w:rPr>
                <w:rFonts w:hint="eastAsia"/>
                <w:highlight w:val="none"/>
                <w:lang w:val="en-US" w:eastAsia="zh-CN"/>
              </w:rPr>
              <w:t>100</w:t>
            </w:r>
            <w:r>
              <w:rPr>
                <w:rFonts w:hint="eastAsia"/>
                <w:highlight w:val="none"/>
              </w:rPr>
              <w:t>万元以</w:t>
            </w:r>
            <w:r>
              <w:rPr>
                <w:rFonts w:hint="eastAsia"/>
                <w:highlight w:val="none"/>
                <w:lang w:val="en-US" w:eastAsia="zh-CN"/>
              </w:rPr>
              <w:t>上</w:t>
            </w:r>
            <w:r>
              <w:rPr>
                <w:rFonts w:hint="eastAsia"/>
                <w:highlight w:val="none"/>
              </w:rPr>
              <w:t>（不含），每个业绩得1分。</w:t>
            </w:r>
          </w:p>
          <w:p w14:paraId="1DD416B6">
            <w:pPr>
              <w:rPr>
                <w:highlight w:val="none"/>
              </w:rPr>
            </w:pPr>
            <w:r>
              <w:rPr>
                <w:rFonts w:hint="eastAsia"/>
                <w:highlight w:val="none"/>
              </w:rPr>
              <w:t>（需提供：业绩证明材料必须包含合同复印件、竣工验收合格证明材料等）</w:t>
            </w:r>
          </w:p>
          <w:p w14:paraId="0356E705">
            <w:pPr>
              <w:rPr>
                <w:highlight w:val="none"/>
              </w:rPr>
            </w:pPr>
            <w:r>
              <w:rPr>
                <w:rFonts w:hint="eastAsia"/>
                <w:highlight w:val="none"/>
              </w:rPr>
              <w:t>注：（1）以上1、2、3项累计得分不得超过</w:t>
            </w:r>
            <w:r>
              <w:rPr>
                <w:rFonts w:hint="eastAsia"/>
                <w:highlight w:val="none"/>
                <w:lang w:val="en-US" w:eastAsia="zh-CN"/>
              </w:rPr>
              <w:t>8</w:t>
            </w:r>
            <w:r>
              <w:rPr>
                <w:rFonts w:hint="eastAsia"/>
                <w:highlight w:val="none"/>
              </w:rPr>
              <w:t>分。</w:t>
            </w:r>
          </w:p>
          <w:p w14:paraId="3E21A00C">
            <w:pPr>
              <w:rPr>
                <w:highlight w:val="none"/>
              </w:rPr>
            </w:pPr>
            <w:r>
              <w:rPr>
                <w:rFonts w:hint="eastAsia"/>
                <w:highlight w:val="none"/>
              </w:rPr>
              <w:t>（2）竣工验收合格证明材料复印件须能反映工程已竣工验收，并已注明签发日期。</w:t>
            </w:r>
          </w:p>
          <w:p w14:paraId="3FAD4325">
            <w:pPr>
              <w:rPr>
                <w:highlight w:val="none"/>
              </w:rPr>
            </w:pPr>
            <w:r>
              <w:rPr>
                <w:rFonts w:hint="eastAsia"/>
                <w:highlight w:val="none"/>
              </w:rPr>
              <w:t>（3）业绩证明材料时间：施工合同签订日期在201</w:t>
            </w:r>
            <w:r>
              <w:rPr>
                <w:rFonts w:hint="eastAsia"/>
                <w:highlight w:val="none"/>
                <w:lang w:val="en-US" w:eastAsia="zh-CN"/>
              </w:rPr>
              <w:t>9</w:t>
            </w:r>
            <w:r>
              <w:rPr>
                <w:rFonts w:hint="eastAsia"/>
                <w:highlight w:val="none"/>
              </w:rPr>
              <w:t>年01月01日至今的时间范围内方为有效业绩。</w:t>
            </w:r>
          </w:p>
          <w:p w14:paraId="272567E1">
            <w:pPr>
              <w:rPr>
                <w:highlight w:val="none"/>
              </w:rPr>
            </w:pPr>
            <w:r>
              <w:rPr>
                <w:rFonts w:hint="eastAsia"/>
                <w:highlight w:val="none"/>
              </w:rPr>
              <w:t>（4）施工合同可只复印盖章页及含有项目名称、签约主体、合同价款、规模等技术指标的关键页，其它资料需提供完整内容的复印件。施工合同复印件须能反映合同签约双方已盖章签字。</w:t>
            </w:r>
          </w:p>
          <w:p w14:paraId="67C48F36">
            <w:pPr>
              <w:rPr>
                <w:highlight w:val="none"/>
              </w:rPr>
            </w:pPr>
            <w:r>
              <w:rPr>
                <w:rFonts w:hint="eastAsia"/>
                <w:highlight w:val="none"/>
              </w:rPr>
              <w:t>（5）合同金额以施工合同中承包合同价为准，施工承包合同未载明合同总价的，以工程结算资料复印件（工程结算资料须能反映结算双方已盖章确认结算金额，提交的工程结算资料复印件须加盖投标人公章）为准。单项合同金额是指一个承包合同所载合同价，同一工程项目分期发包，签订多个施工合同的，不以累加的合同额作为代表工程业绩。</w:t>
            </w:r>
          </w:p>
          <w:p w14:paraId="3798E80D">
            <w:pPr>
              <w:rPr>
                <w:rFonts w:hint="eastAsia" w:ascii="宋体" w:hAnsi="宋体" w:cs="宋体"/>
                <w:color w:val="000000"/>
              </w:rPr>
            </w:pPr>
            <w:r>
              <w:rPr>
                <w:rFonts w:hint="eastAsia"/>
                <w:highlight w:val="none"/>
              </w:rPr>
              <w:t>（</w:t>
            </w:r>
            <w:r>
              <w:rPr>
                <w:highlight w:val="none"/>
              </w:rPr>
              <w:t>6</w:t>
            </w:r>
            <w:r>
              <w:rPr>
                <w:rFonts w:hint="eastAsia"/>
                <w:highlight w:val="none"/>
              </w:rPr>
              <w:t>）若合同案例含其他工程的，投标人提供的证明材料必须能清晰辨别其装修、装饰部分的内容及对应金额，若无法识别的，作无效业绩处理。</w:t>
            </w:r>
          </w:p>
        </w:tc>
        <w:tc>
          <w:tcPr>
            <w:tcW w:w="709" w:type="dxa"/>
            <w:tcBorders>
              <w:right w:val="single" w:color="auto" w:sz="4" w:space="0"/>
            </w:tcBorders>
            <w:vAlign w:val="center"/>
          </w:tcPr>
          <w:p w14:paraId="3D8C6EBC">
            <w:pPr>
              <w:snapToGrid w:val="0"/>
              <w:contextualSpacing/>
              <w:jc w:val="center"/>
              <w:rPr>
                <w:rFonts w:hint="default" w:ascii="宋体" w:hAnsi="宋体" w:eastAsia="宋体"/>
                <w:bCs/>
                <w:highlight w:val="none"/>
                <w:lang w:val="en-US" w:eastAsia="zh-CN"/>
              </w:rPr>
            </w:pPr>
            <w:r>
              <w:rPr>
                <w:rFonts w:hint="eastAsia" w:ascii="宋体" w:hAnsi="宋体"/>
                <w:bCs/>
                <w:highlight w:val="none"/>
                <w:lang w:val="en-US" w:eastAsia="zh-CN"/>
              </w:rPr>
              <w:t>8%</w:t>
            </w:r>
          </w:p>
        </w:tc>
        <w:tc>
          <w:tcPr>
            <w:tcW w:w="850" w:type="dxa"/>
            <w:tcBorders>
              <w:left w:val="single" w:color="auto" w:sz="4" w:space="0"/>
            </w:tcBorders>
            <w:vAlign w:val="center"/>
          </w:tcPr>
          <w:p w14:paraId="2B7FB53C">
            <w:pPr>
              <w:snapToGrid w:val="0"/>
              <w:contextualSpacing/>
              <w:jc w:val="center"/>
              <w:rPr>
                <w:rFonts w:hint="default" w:ascii="宋体" w:hAnsi="宋体" w:eastAsia="宋体"/>
                <w:highlight w:val="none"/>
                <w:lang w:val="en-US" w:eastAsia="zh-CN"/>
              </w:rPr>
            </w:pPr>
            <w:r>
              <w:rPr>
                <w:rFonts w:hint="eastAsia" w:ascii="宋体" w:hAnsi="宋体"/>
                <w:highlight w:val="none"/>
                <w:lang w:val="en-US" w:eastAsia="zh-CN"/>
              </w:rPr>
              <w:t>8分</w:t>
            </w:r>
          </w:p>
        </w:tc>
      </w:tr>
      <w:tr w14:paraId="48BA96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1D1DF098">
            <w:pPr>
              <w:pStyle w:val="60"/>
              <w:numPr>
                <w:ilvl w:val="0"/>
                <w:numId w:val="12"/>
              </w:numPr>
              <w:ind w:left="420" w:firstLineChars="0"/>
              <w:jc w:val="center"/>
              <w:rPr>
                <w:rFonts w:ascii="宋体" w:hAnsi="宋体"/>
                <w:szCs w:val="21"/>
                <w:highlight w:val="none"/>
              </w:rPr>
            </w:pPr>
          </w:p>
        </w:tc>
        <w:tc>
          <w:tcPr>
            <w:tcW w:w="1509" w:type="dxa"/>
            <w:vAlign w:val="center"/>
          </w:tcPr>
          <w:p w14:paraId="14907C36">
            <w:pPr>
              <w:snapToGrid w:val="0"/>
              <w:contextualSpacing/>
              <w:jc w:val="center"/>
              <w:rPr>
                <w:rFonts w:ascii="宋体" w:cs="宋体"/>
                <w:szCs w:val="21"/>
                <w:highlight w:val="none"/>
              </w:rPr>
            </w:pPr>
            <w:r>
              <w:rPr>
                <w:rFonts w:hint="eastAsia" w:ascii="宋体" w:hAnsi="宋体" w:cs="宋体"/>
                <w:color w:val="auto"/>
                <w:szCs w:val="21"/>
              </w:rPr>
              <w:t>拟投入项目管理机构及人员情况</w:t>
            </w:r>
          </w:p>
        </w:tc>
        <w:tc>
          <w:tcPr>
            <w:tcW w:w="5437" w:type="dxa"/>
            <w:vAlign w:val="center"/>
          </w:tcPr>
          <w:p w14:paraId="25B492DF">
            <w:pPr>
              <w:jc w:val="left"/>
              <w:rPr>
                <w:rFonts w:hint="eastAsia" w:ascii="宋体" w:hAnsi="宋体" w:cs="宋体"/>
                <w:color w:val="auto"/>
              </w:rPr>
            </w:pPr>
            <w:r>
              <w:rPr>
                <w:rFonts w:hint="eastAsia" w:ascii="宋体" w:hAnsi="宋体" w:cs="宋体"/>
                <w:color w:val="auto"/>
              </w:rPr>
              <w:t>项目经理（项目总负责人）：（2分）</w:t>
            </w:r>
          </w:p>
          <w:p w14:paraId="49663A0F">
            <w:pPr>
              <w:jc w:val="left"/>
              <w:rPr>
                <w:rFonts w:hint="eastAsia" w:ascii="宋体" w:hAnsi="宋体" w:cs="宋体"/>
                <w:color w:val="auto"/>
              </w:rPr>
            </w:pPr>
            <w:r>
              <w:rPr>
                <w:rFonts w:hint="eastAsia" w:ascii="宋体" w:hAnsi="宋体" w:cs="宋体"/>
                <w:color w:val="auto"/>
              </w:rPr>
              <w:t>□具有建筑类相关专业高级（或以上）工程师职称的，得2分。</w:t>
            </w:r>
          </w:p>
          <w:p w14:paraId="13195623">
            <w:pPr>
              <w:jc w:val="left"/>
              <w:rPr>
                <w:rFonts w:hint="eastAsia" w:ascii="宋体" w:hAnsi="宋体" w:cs="宋体"/>
                <w:color w:val="auto"/>
              </w:rPr>
            </w:pPr>
            <w:r>
              <w:rPr>
                <w:rFonts w:hint="eastAsia" w:ascii="宋体" w:hAnsi="宋体" w:cs="宋体"/>
                <w:color w:val="auto"/>
              </w:rPr>
              <w:t>注：①项目总负责人（或施工项目经理）施工业绩需提供相关项目总负责人（或施工项目经理）岗位证明文件；</w:t>
            </w:r>
          </w:p>
          <w:p w14:paraId="5CB091C3">
            <w:pPr>
              <w:pStyle w:val="2"/>
              <w:rPr>
                <w:rFonts w:hint="eastAsia"/>
              </w:rPr>
            </w:pPr>
          </w:p>
          <w:p w14:paraId="6786E9EE">
            <w:pPr>
              <w:jc w:val="left"/>
              <w:rPr>
                <w:rFonts w:hint="eastAsia" w:ascii="宋体" w:hAnsi="宋体" w:cs="宋体"/>
                <w:color w:val="auto"/>
              </w:rPr>
            </w:pPr>
            <w:r>
              <w:rPr>
                <w:rFonts w:hint="eastAsia" w:ascii="宋体" w:hAnsi="宋体" w:cs="宋体"/>
                <w:color w:val="auto"/>
              </w:rPr>
              <w:t>施工技术负责人：（2分）</w:t>
            </w:r>
          </w:p>
          <w:p w14:paraId="5212D5BC">
            <w:pPr>
              <w:jc w:val="left"/>
              <w:rPr>
                <w:rFonts w:hint="eastAsia" w:ascii="宋体" w:hAnsi="宋体" w:cs="宋体"/>
                <w:color w:val="auto"/>
              </w:rPr>
            </w:pPr>
            <w:r>
              <w:rPr>
                <w:rFonts w:hint="eastAsia" w:ascii="宋体" w:hAnsi="宋体" w:cs="宋体"/>
                <w:color w:val="auto"/>
              </w:rPr>
              <w:t>□同时具有建筑类相关专业高级（或以上）工程师和壹级等级的注册建造师，建造师注册证书中列明的专业类别为市政公用工程的，得2分。</w:t>
            </w:r>
          </w:p>
          <w:p w14:paraId="332822E7">
            <w:pPr>
              <w:jc w:val="left"/>
              <w:rPr>
                <w:rFonts w:hint="eastAsia" w:ascii="宋体" w:hAnsi="宋体" w:cs="宋体"/>
                <w:color w:val="auto"/>
              </w:rPr>
            </w:pPr>
          </w:p>
          <w:p w14:paraId="3254D3A1">
            <w:pPr>
              <w:rPr>
                <w:rFonts w:ascii="宋体" w:hAnsi="宋体" w:cs="宋体"/>
                <w:kern w:val="0"/>
                <w:szCs w:val="21"/>
                <w:highlight w:val="none"/>
              </w:rPr>
            </w:pPr>
            <w:r>
              <w:rPr>
                <w:rFonts w:hint="eastAsia" w:ascii="宋体" w:hAnsi="宋体" w:cs="宋体"/>
                <w:color w:val="auto"/>
              </w:rPr>
              <w:t>注：提供相关人员有效证书复印件及投标截止前近3个月（不含投标当月）在投标人单位缴纳的社保证明的复印件加盖供应商公章，不完整提供不得分。</w:t>
            </w:r>
          </w:p>
        </w:tc>
        <w:tc>
          <w:tcPr>
            <w:tcW w:w="709" w:type="dxa"/>
            <w:tcBorders>
              <w:right w:val="single" w:color="auto" w:sz="4" w:space="0"/>
            </w:tcBorders>
            <w:vAlign w:val="center"/>
          </w:tcPr>
          <w:p w14:paraId="48CA0065">
            <w:pPr>
              <w:snapToGrid w:val="0"/>
              <w:contextualSpacing/>
              <w:jc w:val="center"/>
              <w:rPr>
                <w:rFonts w:ascii="宋体" w:hAnsi="宋体"/>
                <w:bCs/>
                <w:highlight w:val="none"/>
              </w:rPr>
            </w:pPr>
            <w:r>
              <w:rPr>
                <w:rFonts w:hint="eastAsia" w:ascii="宋体" w:hAnsi="宋体"/>
                <w:bCs/>
                <w:highlight w:val="none"/>
                <w:lang w:val="en-US" w:eastAsia="zh-CN"/>
              </w:rPr>
              <w:t>4</w:t>
            </w:r>
            <w:r>
              <w:rPr>
                <w:rFonts w:hint="eastAsia" w:ascii="宋体" w:hAnsi="宋体"/>
                <w:bCs/>
                <w:highlight w:val="none"/>
              </w:rPr>
              <w:t>%</w:t>
            </w:r>
          </w:p>
        </w:tc>
        <w:tc>
          <w:tcPr>
            <w:tcW w:w="850" w:type="dxa"/>
            <w:tcBorders>
              <w:left w:val="single" w:color="auto" w:sz="4" w:space="0"/>
            </w:tcBorders>
            <w:vAlign w:val="center"/>
          </w:tcPr>
          <w:p w14:paraId="00964754">
            <w:pPr>
              <w:snapToGrid w:val="0"/>
              <w:contextualSpacing/>
              <w:jc w:val="center"/>
              <w:rPr>
                <w:rFonts w:ascii="宋体" w:hAnsi="宋体"/>
                <w:highlight w:val="none"/>
              </w:rPr>
            </w:pPr>
            <w:r>
              <w:rPr>
                <w:rFonts w:hint="eastAsia" w:ascii="宋体" w:hAnsi="宋体"/>
                <w:highlight w:val="none"/>
                <w:lang w:val="en-US" w:eastAsia="zh-CN"/>
              </w:rPr>
              <w:t>4</w:t>
            </w:r>
            <w:r>
              <w:rPr>
                <w:rFonts w:hint="eastAsia" w:ascii="宋体" w:hAnsi="宋体"/>
                <w:highlight w:val="none"/>
              </w:rPr>
              <w:t>分</w:t>
            </w:r>
          </w:p>
        </w:tc>
      </w:tr>
      <w:tr w14:paraId="12149B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6728BB6B">
            <w:pPr>
              <w:jc w:val="center"/>
              <w:rPr>
                <w:rFonts w:ascii="宋体" w:hAnsi="宋体"/>
                <w:b/>
                <w:highlight w:val="none"/>
              </w:rPr>
            </w:pPr>
            <w:r>
              <w:rPr>
                <w:rFonts w:hint="eastAsia" w:ascii="宋体" w:hAnsi="宋体"/>
                <w:b/>
                <w:highlight w:val="none"/>
              </w:rPr>
              <w:t>三</w:t>
            </w:r>
          </w:p>
        </w:tc>
        <w:tc>
          <w:tcPr>
            <w:tcW w:w="8505" w:type="dxa"/>
            <w:gridSpan w:val="4"/>
            <w:vAlign w:val="center"/>
          </w:tcPr>
          <w:p w14:paraId="78BA60F3">
            <w:pPr>
              <w:ind w:left="-78" w:leftChars="-37" w:right="-73" w:rightChars="-35"/>
              <w:jc w:val="center"/>
              <w:rPr>
                <w:rFonts w:ascii="宋体" w:hAnsi="宋体" w:cs="宋体"/>
                <w:highlight w:val="none"/>
              </w:rPr>
            </w:pPr>
            <w:r>
              <w:rPr>
                <w:rFonts w:hint="eastAsia" w:ascii="宋体" w:hAnsi="宋体"/>
                <w:highlight w:val="none"/>
              </w:rPr>
              <w:t>价格部分(合计</w:t>
            </w:r>
            <w:r>
              <w:rPr>
                <w:rFonts w:hint="eastAsia" w:ascii="宋体" w:hAnsi="宋体"/>
                <w:highlight w:val="none"/>
                <w:lang w:val="en-US" w:eastAsia="zh-CN"/>
              </w:rPr>
              <w:t>7</w:t>
            </w:r>
            <w:r>
              <w:rPr>
                <w:rFonts w:hint="eastAsia" w:ascii="宋体" w:hAnsi="宋体"/>
                <w:highlight w:val="none"/>
              </w:rPr>
              <w:t>0分)</w:t>
            </w:r>
          </w:p>
        </w:tc>
      </w:tr>
      <w:tr w14:paraId="2D4FB4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17EB02B">
            <w:pPr>
              <w:jc w:val="center"/>
              <w:rPr>
                <w:rFonts w:ascii="宋体" w:hAnsi="宋体"/>
                <w:highlight w:val="none"/>
              </w:rPr>
            </w:pPr>
            <w:r>
              <w:rPr>
                <w:rFonts w:hint="eastAsia" w:ascii="宋体" w:hAnsi="宋体"/>
                <w:highlight w:val="none"/>
              </w:rPr>
              <w:t>1</w:t>
            </w:r>
          </w:p>
        </w:tc>
        <w:tc>
          <w:tcPr>
            <w:tcW w:w="1509" w:type="dxa"/>
            <w:vAlign w:val="center"/>
          </w:tcPr>
          <w:p w14:paraId="62D06B91">
            <w:pPr>
              <w:jc w:val="center"/>
              <w:rPr>
                <w:rFonts w:ascii="宋体" w:hAnsi="宋体"/>
                <w:highlight w:val="none"/>
              </w:rPr>
            </w:pPr>
            <w:r>
              <w:rPr>
                <w:rFonts w:hint="eastAsia" w:ascii="宋体" w:hAnsi="宋体"/>
                <w:highlight w:val="none"/>
              </w:rPr>
              <w:t>投标报价得分</w:t>
            </w:r>
          </w:p>
        </w:tc>
        <w:tc>
          <w:tcPr>
            <w:tcW w:w="5437" w:type="dxa"/>
            <w:vAlign w:val="center"/>
          </w:tcPr>
          <w:p w14:paraId="0699A2E1">
            <w:pPr>
              <w:snapToGrid w:val="0"/>
              <w:rPr>
                <w:rFonts w:ascii="宋体" w:hAnsi="宋体" w:cs="宋体"/>
                <w:highlight w:val="none"/>
              </w:rPr>
            </w:pPr>
            <w:r>
              <w:rPr>
                <w:rFonts w:hint="eastAsia" w:ascii="宋体" w:hAnsi="宋体" w:cs="宋体"/>
                <w:highlight w:val="none"/>
              </w:rPr>
              <w:t>1、当投标人数</w:t>
            </w:r>
            <w:r>
              <w:rPr>
                <w:rFonts w:hint="eastAsia" w:ascii="宋体" w:hAnsi="宋体" w:cs="宋体"/>
                <w:highlight w:val="none"/>
                <w:lang w:val="en-US" w:eastAsia="zh-CN"/>
              </w:rPr>
              <w:t>少</w:t>
            </w:r>
            <w:r>
              <w:rPr>
                <w:rFonts w:hint="eastAsia" w:ascii="宋体" w:hAnsi="宋体" w:cs="宋体"/>
                <w:highlight w:val="none"/>
              </w:rPr>
              <w:t>于</w:t>
            </w:r>
            <w:r>
              <w:rPr>
                <w:rFonts w:hint="eastAsia" w:ascii="宋体" w:hAnsi="宋体" w:cs="宋体"/>
                <w:highlight w:val="none"/>
                <w:lang w:val="en-US" w:eastAsia="zh-CN"/>
              </w:rPr>
              <w:t>5</w:t>
            </w:r>
            <w:r>
              <w:rPr>
                <w:rFonts w:hint="eastAsia" w:ascii="宋体" w:hAnsi="宋体" w:cs="宋体"/>
                <w:highlight w:val="none"/>
              </w:rPr>
              <w:t>个（含）时，评标基准价为所有投标报价算术平均值。当投标人数大于</w:t>
            </w:r>
            <w:r>
              <w:rPr>
                <w:rFonts w:hint="eastAsia" w:ascii="宋体" w:hAnsi="宋体" w:cs="宋体"/>
                <w:highlight w:val="none"/>
                <w:lang w:val="en-US" w:eastAsia="zh-CN"/>
              </w:rPr>
              <w:t>5</w:t>
            </w:r>
            <w:r>
              <w:rPr>
                <w:rFonts w:hint="eastAsia" w:ascii="宋体" w:hAnsi="宋体" w:cs="宋体"/>
                <w:highlight w:val="none"/>
              </w:rPr>
              <w:t>个（不含）时，评标基准价为去掉最高和最低投标报价后的算术平均值。</w:t>
            </w:r>
          </w:p>
          <w:p w14:paraId="7218044A">
            <w:pPr>
              <w:snapToGrid w:val="0"/>
              <w:rPr>
                <w:rFonts w:ascii="宋体" w:hAnsi="宋体" w:cs="宋体"/>
                <w:highlight w:val="none"/>
              </w:rPr>
            </w:pPr>
            <w:r>
              <w:rPr>
                <w:rFonts w:hint="eastAsia" w:ascii="宋体" w:hAnsi="宋体" w:cs="宋体"/>
                <w:highlight w:val="none"/>
              </w:rPr>
              <w:t>2、当投标人报价等于工程评标基准价时得</w:t>
            </w:r>
            <w:r>
              <w:rPr>
                <w:rFonts w:hint="eastAsia" w:ascii="宋体" w:hAnsi="宋体" w:cs="宋体"/>
                <w:highlight w:val="none"/>
                <w:lang w:val="en-US" w:eastAsia="zh-CN"/>
              </w:rPr>
              <w:t>7</w:t>
            </w:r>
            <w:r>
              <w:rPr>
                <w:rFonts w:hint="eastAsia" w:ascii="宋体" w:hAnsi="宋体" w:cs="宋体"/>
                <w:highlight w:val="none"/>
              </w:rPr>
              <w:t>0分</w:t>
            </w:r>
          </w:p>
          <w:p w14:paraId="0172CE2E">
            <w:pPr>
              <w:snapToGrid w:val="0"/>
              <w:rPr>
                <w:rFonts w:ascii="宋体" w:hAnsi="宋体" w:cs="宋体"/>
                <w:highlight w:val="none"/>
              </w:rPr>
            </w:pPr>
            <w:r>
              <w:rPr>
                <w:rFonts w:hint="eastAsia" w:ascii="宋体" w:hAnsi="宋体" w:cs="宋体"/>
                <w:highlight w:val="none"/>
              </w:rPr>
              <w:t>（1）报价大于工程评标基准价得分</w:t>
            </w:r>
          </w:p>
          <w:p w14:paraId="7F2B34D1">
            <w:pPr>
              <w:snapToGrid w:val="0"/>
              <w:rPr>
                <w:rFonts w:ascii="宋体" w:hAnsi="宋体" w:cs="宋体"/>
                <w:highlight w:val="none"/>
              </w:rPr>
            </w:pPr>
            <w:r>
              <w:rPr>
                <w:rFonts w:hint="eastAsia" w:ascii="宋体" w:hAnsi="宋体" w:cs="宋体"/>
                <w:highlight w:val="none"/>
              </w:rPr>
              <w:t>=</w:t>
            </w:r>
            <w:r>
              <w:rPr>
                <w:rFonts w:hint="eastAsia" w:ascii="宋体" w:hAnsi="宋体" w:cs="宋体"/>
                <w:highlight w:val="none"/>
                <w:lang w:val="en-US" w:eastAsia="zh-CN"/>
              </w:rPr>
              <w:t>7</w:t>
            </w:r>
            <w:r>
              <w:rPr>
                <w:rFonts w:hint="eastAsia" w:ascii="宋体" w:hAnsi="宋体" w:cs="宋体"/>
                <w:highlight w:val="none"/>
              </w:rPr>
              <w:t>0–︱报价–工程评标基准价︱/工程评标基准价×100×</w:t>
            </w:r>
            <w:r>
              <w:rPr>
                <w:rFonts w:hint="eastAsia" w:ascii="宋体" w:hAnsi="宋体" w:cs="宋体"/>
                <w:highlight w:val="none"/>
                <w:lang w:val="en-US" w:eastAsia="zh-CN"/>
              </w:rPr>
              <w:t>1</w:t>
            </w:r>
            <w:r>
              <w:rPr>
                <w:rFonts w:hint="eastAsia" w:ascii="宋体" w:hAnsi="宋体" w:cs="宋体"/>
                <w:highlight w:val="none"/>
              </w:rPr>
              <w:t xml:space="preserve">； </w:t>
            </w:r>
          </w:p>
          <w:p w14:paraId="17B29D92">
            <w:pPr>
              <w:snapToGrid w:val="0"/>
              <w:rPr>
                <w:rFonts w:ascii="宋体" w:hAnsi="宋体" w:cs="宋体"/>
                <w:highlight w:val="none"/>
              </w:rPr>
            </w:pPr>
            <w:r>
              <w:rPr>
                <w:rFonts w:hint="eastAsia" w:ascii="宋体" w:hAnsi="宋体" w:cs="宋体"/>
                <w:highlight w:val="none"/>
              </w:rPr>
              <w:t>（2）报价小于工程评标基准价得分</w:t>
            </w:r>
          </w:p>
          <w:p w14:paraId="0ED3CF9A">
            <w:pPr>
              <w:snapToGrid w:val="0"/>
              <w:rPr>
                <w:rFonts w:ascii="宋体" w:hAnsi="宋体" w:cs="宋体"/>
                <w:highlight w:val="none"/>
              </w:rPr>
            </w:pPr>
            <w:r>
              <w:rPr>
                <w:rFonts w:hint="eastAsia" w:ascii="宋体" w:hAnsi="宋体" w:cs="宋体"/>
                <w:highlight w:val="none"/>
              </w:rPr>
              <w:t>=</w:t>
            </w:r>
            <w:r>
              <w:rPr>
                <w:rFonts w:hint="eastAsia" w:ascii="宋体" w:hAnsi="宋体" w:cs="宋体"/>
                <w:highlight w:val="none"/>
                <w:lang w:val="en-US" w:eastAsia="zh-CN"/>
              </w:rPr>
              <w:t>7</w:t>
            </w:r>
            <w:r>
              <w:rPr>
                <w:rFonts w:hint="eastAsia" w:ascii="宋体" w:hAnsi="宋体" w:cs="宋体"/>
                <w:highlight w:val="none"/>
              </w:rPr>
              <w:t>0-︱报价–工程评标基准价︱/工程评标基准价×100×0.</w:t>
            </w:r>
            <w:r>
              <w:rPr>
                <w:rFonts w:hint="eastAsia" w:ascii="宋体" w:hAnsi="宋体" w:cs="宋体"/>
                <w:highlight w:val="none"/>
                <w:lang w:val="en-US" w:eastAsia="zh-CN"/>
              </w:rPr>
              <w:t>5</w:t>
            </w:r>
            <w:r>
              <w:rPr>
                <w:rFonts w:hint="eastAsia" w:ascii="宋体" w:hAnsi="宋体" w:cs="宋体"/>
                <w:highlight w:val="none"/>
              </w:rPr>
              <w:t>。</w:t>
            </w:r>
          </w:p>
          <w:p w14:paraId="11325FED">
            <w:pPr>
              <w:snapToGrid w:val="0"/>
              <w:rPr>
                <w:rFonts w:ascii="宋体" w:hAnsi="宋体" w:cs="宋体"/>
                <w:highlight w:val="none"/>
              </w:rPr>
            </w:pPr>
            <w:r>
              <w:rPr>
                <w:rFonts w:hint="eastAsia" w:ascii="宋体" w:hAnsi="宋体" w:cs="宋体"/>
                <w:highlight w:val="none"/>
              </w:rPr>
              <w:t>备注：1、投标报价指投标人不含税投标报价；</w:t>
            </w:r>
          </w:p>
          <w:p w14:paraId="02D98EA9">
            <w:pPr>
              <w:snapToGrid w:val="0"/>
              <w:rPr>
                <w:rFonts w:ascii="宋体" w:hAnsi="宋体"/>
                <w:bCs/>
                <w:highlight w:val="none"/>
              </w:rPr>
            </w:pPr>
            <w:r>
              <w:rPr>
                <w:rFonts w:hint="eastAsia" w:ascii="宋体" w:hAnsi="宋体" w:cs="宋体"/>
                <w:highlight w:val="none"/>
              </w:rPr>
              <w:t>2、投标报价得分四舍五入后，小数点后保留两位有效数；</w:t>
            </w:r>
          </w:p>
        </w:tc>
        <w:tc>
          <w:tcPr>
            <w:tcW w:w="709" w:type="dxa"/>
            <w:tcBorders>
              <w:right w:val="single" w:color="auto" w:sz="4" w:space="0"/>
            </w:tcBorders>
            <w:vAlign w:val="center"/>
          </w:tcPr>
          <w:p w14:paraId="3CBA9F7C">
            <w:pPr>
              <w:ind w:left="-78" w:leftChars="-37" w:right="-73" w:rightChars="-35"/>
              <w:jc w:val="center"/>
              <w:rPr>
                <w:rFonts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0%</w:t>
            </w:r>
            <w:r>
              <w:rPr>
                <w:rFonts w:ascii="宋体" w:hAnsi="宋体" w:cs="宋体"/>
                <w:highlight w:val="none"/>
              </w:rPr>
              <w:t xml:space="preserve"> </w:t>
            </w:r>
          </w:p>
        </w:tc>
        <w:tc>
          <w:tcPr>
            <w:tcW w:w="850" w:type="dxa"/>
            <w:tcBorders>
              <w:left w:val="single" w:color="auto" w:sz="4" w:space="0"/>
            </w:tcBorders>
            <w:vAlign w:val="center"/>
          </w:tcPr>
          <w:p w14:paraId="426E279C">
            <w:pPr>
              <w:ind w:left="-78" w:leftChars="-37" w:right="-73" w:rightChars="-35"/>
              <w:jc w:val="center"/>
              <w:rPr>
                <w:rFonts w:ascii="宋体" w:hAnsi="宋体" w:cs="宋体"/>
                <w:highlight w:val="none"/>
              </w:rPr>
            </w:pPr>
            <w:r>
              <w:rPr>
                <w:rFonts w:hint="eastAsia" w:ascii="宋体" w:hAnsi="宋体"/>
                <w:highlight w:val="none"/>
                <w:lang w:val="en-US" w:eastAsia="zh-CN"/>
              </w:rPr>
              <w:t>7</w:t>
            </w:r>
            <w:r>
              <w:rPr>
                <w:rFonts w:hint="eastAsia" w:ascii="宋体" w:hAnsi="宋体"/>
                <w:highlight w:val="none"/>
              </w:rPr>
              <w:t>0分</w:t>
            </w:r>
          </w:p>
        </w:tc>
      </w:tr>
      <w:tr w14:paraId="0F8ED9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6FC9B113">
            <w:pPr>
              <w:ind w:left="-78" w:leftChars="-37" w:right="-73" w:rightChars="-35"/>
              <w:jc w:val="center"/>
              <w:rPr>
                <w:rFonts w:ascii="宋体" w:hAnsi="宋体" w:cs="宋体"/>
                <w:highlight w:val="none"/>
              </w:rPr>
            </w:pPr>
            <w:r>
              <w:rPr>
                <w:rFonts w:hint="eastAsia" w:ascii="宋体" w:hAnsi="宋体"/>
                <w:highlight w:val="none"/>
              </w:rPr>
              <w:t>合计</w:t>
            </w:r>
          </w:p>
        </w:tc>
        <w:tc>
          <w:tcPr>
            <w:tcW w:w="709" w:type="dxa"/>
            <w:tcBorders>
              <w:right w:val="single" w:color="auto" w:sz="4" w:space="0"/>
            </w:tcBorders>
            <w:vAlign w:val="center"/>
          </w:tcPr>
          <w:p w14:paraId="00FD6998">
            <w:pPr>
              <w:ind w:left="-78" w:leftChars="-37" w:right="-73" w:rightChars="-35"/>
              <w:jc w:val="center"/>
              <w:rPr>
                <w:rFonts w:ascii="宋体" w:hAnsi="宋体" w:cs="宋体"/>
                <w:highlight w:val="none"/>
              </w:rPr>
            </w:pPr>
            <w:r>
              <w:rPr>
                <w:rFonts w:hint="eastAsia" w:ascii="宋体" w:hAnsi="宋体" w:cs="宋体"/>
                <w:highlight w:val="none"/>
              </w:rPr>
              <w:t>100%</w:t>
            </w:r>
            <w:r>
              <w:rPr>
                <w:rFonts w:ascii="宋体" w:hAnsi="宋体" w:cs="宋体"/>
                <w:highlight w:val="none"/>
              </w:rPr>
              <w:t xml:space="preserve"> </w:t>
            </w:r>
          </w:p>
        </w:tc>
        <w:tc>
          <w:tcPr>
            <w:tcW w:w="850" w:type="dxa"/>
            <w:tcBorders>
              <w:left w:val="single" w:color="auto" w:sz="4" w:space="0"/>
            </w:tcBorders>
            <w:vAlign w:val="center"/>
          </w:tcPr>
          <w:p w14:paraId="389919A4">
            <w:pPr>
              <w:ind w:left="-78" w:leftChars="-37" w:right="-73" w:rightChars="-35"/>
              <w:jc w:val="center"/>
              <w:rPr>
                <w:rFonts w:ascii="宋体" w:hAnsi="宋体" w:cs="宋体"/>
                <w:highlight w:val="none"/>
              </w:rPr>
            </w:pPr>
            <w:r>
              <w:rPr>
                <w:rFonts w:hint="eastAsia" w:ascii="宋体" w:hAnsi="宋体" w:cs="宋体"/>
                <w:highlight w:val="none"/>
              </w:rPr>
              <w:t>100分</w:t>
            </w:r>
          </w:p>
        </w:tc>
      </w:tr>
    </w:tbl>
    <w:p w14:paraId="60D7FFBC">
      <w:pPr>
        <w:pStyle w:val="3"/>
        <w:keepLines w:val="0"/>
        <w:spacing w:before="0" w:after="0" w:line="360" w:lineRule="auto"/>
        <w:ind w:right="-441" w:rightChars="-210"/>
        <w:jc w:val="center"/>
        <w:rPr>
          <w:color w:val="000000"/>
          <w:kern w:val="2"/>
          <w:highlight w:val="none"/>
        </w:rPr>
      </w:pPr>
      <w:r>
        <w:rPr>
          <w:rStyle w:val="38"/>
          <w:rFonts w:hint="eastAsia"/>
          <w:b w:val="0"/>
          <w:bCs/>
          <w:sz w:val="48"/>
          <w:highlight w:val="none"/>
        </w:rPr>
        <w:br w:type="page"/>
      </w:r>
      <w:bookmarkEnd w:id="105"/>
      <w:bookmarkEnd w:id="106"/>
      <w:bookmarkEnd w:id="107"/>
      <w:bookmarkEnd w:id="108"/>
      <w:bookmarkEnd w:id="109"/>
      <w:bookmarkStart w:id="1140" w:name="_Toc130180739"/>
      <w:bookmarkStart w:id="1141" w:name="_Toc238282340"/>
      <w:bookmarkStart w:id="1142" w:name="_Toc10069"/>
      <w:bookmarkStart w:id="1143" w:name="_Toc130180925"/>
      <w:bookmarkStart w:id="1144" w:name="_Toc130180844"/>
      <w:r>
        <w:rPr>
          <w:rStyle w:val="38"/>
          <w:rFonts w:hint="eastAsia"/>
          <w:b/>
          <w:sz w:val="48"/>
          <w:highlight w:val="none"/>
        </w:rPr>
        <w:t xml:space="preserve">第七章 </w:t>
      </w:r>
      <w:r>
        <w:rPr>
          <w:rStyle w:val="38"/>
          <w:rFonts w:hint="eastAsia"/>
          <w:b w:val="0"/>
          <w:bCs/>
          <w:sz w:val="48"/>
          <w:highlight w:val="none"/>
        </w:rPr>
        <w:t xml:space="preserve"> </w:t>
      </w:r>
      <w:r>
        <w:rPr>
          <w:rFonts w:hint="eastAsia"/>
          <w:color w:val="000000"/>
          <w:kern w:val="2"/>
          <w:highlight w:val="none"/>
        </w:rPr>
        <w:t>投标文件格式</w:t>
      </w:r>
      <w:bookmarkEnd w:id="1140"/>
      <w:bookmarkEnd w:id="1141"/>
      <w:bookmarkEnd w:id="1142"/>
      <w:bookmarkEnd w:id="1143"/>
      <w:bookmarkEnd w:id="1144"/>
    </w:p>
    <w:p w14:paraId="0A6D788C">
      <w:pPr>
        <w:rPr>
          <w:color w:val="000000"/>
          <w:highlight w:val="none"/>
        </w:rPr>
      </w:pPr>
    </w:p>
    <w:tbl>
      <w:tblPr>
        <w:tblStyle w:val="22"/>
        <w:tblW w:w="9374" w:type="dxa"/>
        <w:tblInd w:w="94" w:type="dxa"/>
        <w:tblLayout w:type="fixed"/>
        <w:tblCellMar>
          <w:top w:w="0" w:type="dxa"/>
          <w:left w:w="108" w:type="dxa"/>
          <w:bottom w:w="0" w:type="dxa"/>
          <w:right w:w="108" w:type="dxa"/>
        </w:tblCellMar>
      </w:tblPr>
      <w:tblGrid>
        <w:gridCol w:w="878"/>
        <w:gridCol w:w="6696"/>
        <w:gridCol w:w="720"/>
        <w:gridCol w:w="720"/>
        <w:gridCol w:w="360"/>
      </w:tblGrid>
      <w:tr w14:paraId="152B8149">
        <w:tblPrEx>
          <w:tblCellMar>
            <w:top w:w="0" w:type="dxa"/>
            <w:left w:w="108" w:type="dxa"/>
            <w:bottom w:w="0" w:type="dxa"/>
            <w:right w:w="108" w:type="dxa"/>
          </w:tblCellMar>
        </w:tblPrEx>
        <w:trPr>
          <w:trHeight w:val="510" w:hRule="atLeast"/>
        </w:trPr>
        <w:tc>
          <w:tcPr>
            <w:tcW w:w="878" w:type="dxa"/>
            <w:tcBorders>
              <w:top w:val="single" w:color="auto" w:sz="4" w:space="0"/>
              <w:left w:val="single" w:color="auto" w:sz="4" w:space="0"/>
              <w:bottom w:val="single" w:color="auto" w:sz="4" w:space="0"/>
              <w:right w:val="single" w:color="auto" w:sz="4" w:space="0"/>
            </w:tcBorders>
            <w:vAlign w:val="center"/>
          </w:tcPr>
          <w:p w14:paraId="45A76634">
            <w:pPr>
              <w:widowControl/>
              <w:rPr>
                <w:rFonts w:ascii="宋体" w:hAnsi="宋体" w:cs="宋体"/>
                <w:b/>
                <w:bCs/>
                <w:color w:val="000000"/>
                <w:kern w:val="0"/>
                <w:szCs w:val="21"/>
                <w:highlight w:val="none"/>
              </w:rPr>
            </w:pPr>
            <w:r>
              <w:rPr>
                <w:rFonts w:hint="eastAsia" w:ascii="宋体" w:hAnsi="宋体" w:cs="宋体"/>
                <w:b/>
                <w:bCs/>
                <w:color w:val="000000"/>
                <w:kern w:val="0"/>
                <w:szCs w:val="21"/>
                <w:highlight w:val="none"/>
              </w:rPr>
              <w:t>序号</w:t>
            </w:r>
          </w:p>
        </w:tc>
        <w:tc>
          <w:tcPr>
            <w:tcW w:w="6696" w:type="dxa"/>
            <w:tcBorders>
              <w:top w:val="single" w:color="auto" w:sz="4" w:space="0"/>
              <w:left w:val="nil"/>
              <w:bottom w:val="single" w:color="auto" w:sz="4" w:space="0"/>
              <w:right w:val="single" w:color="auto" w:sz="4" w:space="0"/>
            </w:tcBorders>
            <w:vAlign w:val="center"/>
          </w:tcPr>
          <w:p w14:paraId="1B26FA86">
            <w:pPr>
              <w:widowControl/>
              <w:jc w:val="center"/>
              <w:rPr>
                <w:rFonts w:ascii="宋体" w:hAnsi="宋体" w:cs="宋体"/>
                <w:b/>
                <w:bCs/>
                <w:color w:val="000000"/>
                <w:kern w:val="0"/>
                <w:szCs w:val="21"/>
                <w:highlight w:val="none"/>
              </w:rPr>
            </w:pPr>
            <w:r>
              <w:rPr>
                <w:rFonts w:hint="eastAsia" w:ascii="宋体" w:hAnsi="宋体" w:cs="宋体"/>
                <w:b/>
                <w:bCs/>
                <w:color w:val="000000"/>
                <w:kern w:val="0"/>
                <w:szCs w:val="21"/>
                <w:highlight w:val="none"/>
              </w:rPr>
              <w:t>内</w:t>
            </w:r>
            <w:r>
              <w:rPr>
                <w:rFonts w:ascii="宋体" w:hAnsi="宋体"/>
                <w:b/>
                <w:bCs/>
                <w:color w:val="000000"/>
                <w:kern w:val="0"/>
                <w:szCs w:val="21"/>
                <w:highlight w:val="none"/>
              </w:rPr>
              <w:t xml:space="preserve">      </w:t>
            </w:r>
            <w:r>
              <w:rPr>
                <w:rFonts w:hint="eastAsia" w:ascii="宋体" w:hAnsi="宋体" w:cs="宋体"/>
                <w:b/>
                <w:bCs/>
                <w:color w:val="000000"/>
                <w:kern w:val="0"/>
                <w:szCs w:val="21"/>
                <w:highlight w:val="none"/>
              </w:rPr>
              <w:t>容</w:t>
            </w:r>
          </w:p>
        </w:tc>
        <w:tc>
          <w:tcPr>
            <w:tcW w:w="720" w:type="dxa"/>
            <w:tcBorders>
              <w:top w:val="single" w:color="auto" w:sz="4" w:space="0"/>
              <w:left w:val="nil"/>
              <w:bottom w:val="single" w:color="auto" w:sz="4" w:space="0"/>
              <w:right w:val="single" w:color="auto" w:sz="4" w:space="0"/>
            </w:tcBorders>
            <w:vAlign w:val="bottom"/>
          </w:tcPr>
          <w:p w14:paraId="39E77C15">
            <w:pPr>
              <w:widowControl/>
              <w:jc w:val="center"/>
              <w:rPr>
                <w:rFonts w:ascii="宋体" w:hAnsi="宋体" w:cs="宋体"/>
                <w:b/>
                <w:bCs/>
                <w:color w:val="000000"/>
                <w:kern w:val="0"/>
                <w:szCs w:val="21"/>
                <w:highlight w:val="none"/>
              </w:rPr>
            </w:pPr>
            <w:r>
              <w:rPr>
                <w:rFonts w:hint="eastAsia" w:ascii="宋体" w:hAnsi="宋体" w:cs="宋体"/>
                <w:b/>
                <w:bCs/>
                <w:color w:val="000000"/>
                <w:kern w:val="0"/>
                <w:szCs w:val="21"/>
                <w:highlight w:val="none"/>
              </w:rPr>
              <w:t>是否提交</w:t>
            </w:r>
          </w:p>
        </w:tc>
        <w:tc>
          <w:tcPr>
            <w:tcW w:w="720" w:type="dxa"/>
            <w:tcBorders>
              <w:top w:val="single" w:color="auto" w:sz="4" w:space="0"/>
              <w:left w:val="nil"/>
              <w:bottom w:val="single" w:color="auto" w:sz="4" w:space="0"/>
              <w:right w:val="single" w:color="auto" w:sz="4" w:space="0"/>
            </w:tcBorders>
            <w:vAlign w:val="bottom"/>
          </w:tcPr>
          <w:p w14:paraId="550FA8D1">
            <w:pPr>
              <w:widowControl/>
              <w:rPr>
                <w:rFonts w:ascii="宋体" w:hAnsi="宋体" w:cs="宋体"/>
                <w:b/>
                <w:bCs/>
                <w:color w:val="000000"/>
                <w:kern w:val="0"/>
                <w:szCs w:val="21"/>
                <w:highlight w:val="none"/>
              </w:rPr>
            </w:pPr>
            <w:r>
              <w:rPr>
                <w:rFonts w:hint="eastAsia" w:ascii="宋体" w:hAnsi="宋体" w:cs="宋体"/>
                <w:b/>
                <w:bCs/>
                <w:color w:val="000000"/>
                <w:kern w:val="0"/>
                <w:szCs w:val="21"/>
                <w:highlight w:val="none"/>
              </w:rPr>
              <w:t>页码范围</w:t>
            </w:r>
          </w:p>
        </w:tc>
        <w:tc>
          <w:tcPr>
            <w:tcW w:w="360" w:type="dxa"/>
            <w:tcBorders>
              <w:top w:val="single" w:color="auto" w:sz="4" w:space="0"/>
              <w:left w:val="nil"/>
              <w:bottom w:val="single" w:color="auto" w:sz="4" w:space="0"/>
              <w:right w:val="single" w:color="auto" w:sz="4" w:space="0"/>
            </w:tcBorders>
            <w:vAlign w:val="center"/>
          </w:tcPr>
          <w:p w14:paraId="29FA7F54">
            <w:pPr>
              <w:widowControl/>
              <w:jc w:val="center"/>
              <w:rPr>
                <w:rFonts w:ascii="宋体" w:hAnsi="宋体" w:cs="宋体"/>
                <w:b/>
                <w:bCs/>
                <w:color w:val="000000"/>
                <w:kern w:val="0"/>
                <w:szCs w:val="21"/>
                <w:highlight w:val="none"/>
              </w:rPr>
            </w:pPr>
            <w:r>
              <w:rPr>
                <w:rFonts w:hint="eastAsia" w:ascii="宋体" w:hAnsi="宋体" w:cs="宋体"/>
                <w:b/>
                <w:bCs/>
                <w:color w:val="000000"/>
                <w:kern w:val="0"/>
                <w:szCs w:val="21"/>
                <w:highlight w:val="none"/>
              </w:rPr>
              <w:t>备注</w:t>
            </w:r>
          </w:p>
        </w:tc>
      </w:tr>
      <w:tr w14:paraId="4D961B14">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6BEAA2D1">
            <w:pPr>
              <w:widowControl/>
              <w:rPr>
                <w:rFonts w:ascii="宋体" w:hAnsi="宋体" w:cs="宋体"/>
                <w:b/>
                <w:bCs/>
                <w:color w:val="000000"/>
                <w:kern w:val="0"/>
                <w:szCs w:val="21"/>
                <w:highlight w:val="none"/>
              </w:rPr>
            </w:pPr>
            <w:r>
              <w:rPr>
                <w:rFonts w:hint="eastAsia" w:ascii="宋体" w:hAnsi="宋体" w:cs="宋体"/>
                <w:b/>
                <w:bCs/>
                <w:color w:val="000000"/>
                <w:kern w:val="0"/>
                <w:szCs w:val="21"/>
                <w:highlight w:val="none"/>
              </w:rPr>
              <w:t>一</w:t>
            </w:r>
          </w:p>
        </w:tc>
        <w:tc>
          <w:tcPr>
            <w:tcW w:w="6696" w:type="dxa"/>
            <w:tcBorders>
              <w:top w:val="single" w:color="auto" w:sz="4" w:space="0"/>
              <w:left w:val="nil"/>
              <w:bottom w:val="single" w:color="auto" w:sz="4" w:space="0"/>
              <w:right w:val="single" w:color="auto" w:sz="4" w:space="0"/>
            </w:tcBorders>
            <w:vAlign w:val="center"/>
          </w:tcPr>
          <w:p w14:paraId="5F7BA62D">
            <w:pPr>
              <w:widowControl/>
              <w:rPr>
                <w:rFonts w:ascii="宋体" w:hAnsi="宋体" w:cs="宋体"/>
                <w:b/>
                <w:bCs/>
                <w:color w:val="000000"/>
                <w:kern w:val="0"/>
                <w:szCs w:val="21"/>
                <w:highlight w:val="none"/>
              </w:rPr>
            </w:pPr>
            <w:r>
              <w:rPr>
                <w:rFonts w:hint="eastAsia" w:ascii="宋体" w:hAnsi="宋体" w:cs="宋体"/>
                <w:b/>
                <w:bCs/>
                <w:color w:val="000000"/>
                <w:kern w:val="0"/>
                <w:szCs w:val="21"/>
                <w:highlight w:val="none"/>
              </w:rPr>
              <w:t>投标报价文件</w:t>
            </w:r>
          </w:p>
        </w:tc>
        <w:tc>
          <w:tcPr>
            <w:tcW w:w="720" w:type="dxa"/>
            <w:tcBorders>
              <w:top w:val="single" w:color="auto" w:sz="4" w:space="0"/>
              <w:left w:val="nil"/>
              <w:bottom w:val="single" w:color="auto" w:sz="4" w:space="0"/>
              <w:right w:val="single" w:color="auto" w:sz="4" w:space="0"/>
            </w:tcBorders>
            <w:vAlign w:val="bottom"/>
          </w:tcPr>
          <w:p w14:paraId="203D4ABB">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4FAE5B44">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555E2818">
            <w:pPr>
              <w:widowControl/>
              <w:jc w:val="center"/>
              <w:rPr>
                <w:rFonts w:ascii="宋体" w:hAnsi="宋体" w:cs="宋体"/>
                <w:b/>
                <w:bCs/>
                <w:color w:val="000000"/>
                <w:kern w:val="0"/>
                <w:szCs w:val="21"/>
                <w:highlight w:val="none"/>
              </w:rPr>
            </w:pPr>
          </w:p>
        </w:tc>
      </w:tr>
      <w:tr w14:paraId="239754FC">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77723D44">
            <w:pPr>
              <w:widowControl/>
              <w:rPr>
                <w:rFonts w:ascii="宋体" w:hAnsi="宋体" w:cs="宋体"/>
                <w:color w:val="000000"/>
                <w:kern w:val="0"/>
                <w:szCs w:val="21"/>
                <w:highlight w:val="none"/>
              </w:rPr>
            </w:pPr>
            <w:r>
              <w:rPr>
                <w:rFonts w:hint="eastAsia" w:ascii="宋体" w:hAnsi="宋体" w:cs="宋体"/>
                <w:color w:val="000000"/>
                <w:kern w:val="0"/>
                <w:szCs w:val="21"/>
                <w:highlight w:val="none"/>
              </w:rPr>
              <w:t>1.1</w:t>
            </w:r>
          </w:p>
        </w:tc>
        <w:tc>
          <w:tcPr>
            <w:tcW w:w="6696" w:type="dxa"/>
            <w:tcBorders>
              <w:top w:val="single" w:color="auto" w:sz="4" w:space="0"/>
              <w:left w:val="nil"/>
              <w:bottom w:val="single" w:color="auto" w:sz="4" w:space="0"/>
              <w:right w:val="single" w:color="auto" w:sz="4" w:space="0"/>
            </w:tcBorders>
            <w:vAlign w:val="center"/>
          </w:tcPr>
          <w:p w14:paraId="5F5AE44B">
            <w:pPr>
              <w:widowControl/>
              <w:rPr>
                <w:rFonts w:ascii="宋体" w:hAnsi="宋体" w:cs="宋体"/>
                <w:b/>
                <w:bCs/>
                <w:color w:val="000000"/>
                <w:kern w:val="0"/>
                <w:szCs w:val="21"/>
                <w:highlight w:val="none"/>
              </w:rPr>
            </w:pPr>
            <w:r>
              <w:rPr>
                <w:rFonts w:hint="eastAsia" w:ascii="宋体" w:hAnsi="宋体"/>
                <w:bCs/>
                <w:color w:val="000000"/>
                <w:szCs w:val="21"/>
                <w:highlight w:val="none"/>
              </w:rPr>
              <w:t>★</w:t>
            </w:r>
            <w:r>
              <w:rPr>
                <w:rFonts w:hint="eastAsia" w:ascii="宋体" w:hAnsi="宋体" w:cs="宋体"/>
                <w:color w:val="000000"/>
                <w:kern w:val="0"/>
                <w:szCs w:val="21"/>
                <w:highlight w:val="none"/>
              </w:rPr>
              <w:t>投标函（格式</w:t>
            </w:r>
            <w:r>
              <w:rPr>
                <w:rFonts w:ascii="宋体" w:hAnsi="宋体"/>
                <w:color w:val="000000"/>
                <w:kern w:val="0"/>
                <w:szCs w:val="21"/>
                <w:highlight w:val="none"/>
              </w:rPr>
              <w:t>1</w:t>
            </w:r>
            <w:r>
              <w:rPr>
                <w:rFonts w:hint="eastAsia" w:ascii="宋体" w:hAnsi="宋体" w:cs="宋体"/>
                <w:color w:val="000000"/>
                <w:kern w:val="0"/>
                <w:szCs w:val="21"/>
                <w:highlight w:val="none"/>
              </w:rPr>
              <w:t>）</w:t>
            </w:r>
          </w:p>
        </w:tc>
        <w:tc>
          <w:tcPr>
            <w:tcW w:w="720" w:type="dxa"/>
            <w:tcBorders>
              <w:top w:val="single" w:color="auto" w:sz="4" w:space="0"/>
              <w:left w:val="nil"/>
              <w:bottom w:val="single" w:color="auto" w:sz="4" w:space="0"/>
              <w:right w:val="single" w:color="auto" w:sz="4" w:space="0"/>
            </w:tcBorders>
            <w:vAlign w:val="bottom"/>
          </w:tcPr>
          <w:p w14:paraId="16019EA7">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466F6578">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452D703C">
            <w:pPr>
              <w:widowControl/>
              <w:jc w:val="center"/>
              <w:rPr>
                <w:rFonts w:ascii="宋体" w:hAnsi="宋体" w:cs="宋体"/>
                <w:b/>
                <w:bCs/>
                <w:color w:val="000000"/>
                <w:kern w:val="0"/>
                <w:szCs w:val="21"/>
                <w:highlight w:val="none"/>
              </w:rPr>
            </w:pPr>
          </w:p>
        </w:tc>
      </w:tr>
      <w:tr w14:paraId="6050A9D8">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31625F08">
            <w:pPr>
              <w:widowControl/>
              <w:rPr>
                <w:rFonts w:ascii="宋体" w:hAnsi="宋体" w:cs="宋体"/>
                <w:color w:val="000000"/>
                <w:kern w:val="0"/>
                <w:szCs w:val="21"/>
                <w:highlight w:val="none"/>
              </w:rPr>
            </w:pPr>
            <w:r>
              <w:rPr>
                <w:rFonts w:hint="eastAsia" w:ascii="宋体" w:hAnsi="宋体" w:cs="宋体"/>
                <w:color w:val="000000"/>
                <w:kern w:val="0"/>
                <w:szCs w:val="21"/>
                <w:highlight w:val="none"/>
              </w:rPr>
              <w:t>1.2</w:t>
            </w:r>
          </w:p>
        </w:tc>
        <w:tc>
          <w:tcPr>
            <w:tcW w:w="6696" w:type="dxa"/>
            <w:tcBorders>
              <w:top w:val="single" w:color="auto" w:sz="4" w:space="0"/>
              <w:left w:val="nil"/>
              <w:bottom w:val="single" w:color="auto" w:sz="4" w:space="0"/>
              <w:right w:val="single" w:color="auto" w:sz="4" w:space="0"/>
            </w:tcBorders>
            <w:vAlign w:val="center"/>
          </w:tcPr>
          <w:p w14:paraId="360F74FF">
            <w:pPr>
              <w:widowControl/>
              <w:rPr>
                <w:rFonts w:ascii="宋体" w:hAnsi="宋体" w:cs="宋体"/>
                <w:color w:val="000000"/>
                <w:kern w:val="0"/>
                <w:szCs w:val="21"/>
                <w:highlight w:val="none"/>
              </w:rPr>
            </w:pPr>
            <w:r>
              <w:rPr>
                <w:rFonts w:hint="eastAsia" w:ascii="宋体" w:hAnsi="宋体"/>
                <w:bCs/>
                <w:color w:val="000000"/>
                <w:szCs w:val="21"/>
                <w:highlight w:val="none"/>
              </w:rPr>
              <w:t>★</w:t>
            </w:r>
            <w:r>
              <w:rPr>
                <w:rFonts w:hint="eastAsia" w:ascii="宋体" w:hAnsi="宋体" w:cs="宋体"/>
                <w:color w:val="000000"/>
                <w:kern w:val="0"/>
                <w:szCs w:val="21"/>
                <w:highlight w:val="none"/>
              </w:rPr>
              <w:t>开标一览表</w:t>
            </w:r>
            <w:r>
              <w:rPr>
                <w:rFonts w:ascii="宋体" w:hAnsi="宋体"/>
                <w:color w:val="000000"/>
                <w:kern w:val="0"/>
                <w:szCs w:val="21"/>
                <w:highlight w:val="none"/>
              </w:rPr>
              <w:t>(</w:t>
            </w:r>
            <w:r>
              <w:rPr>
                <w:rFonts w:hint="eastAsia" w:ascii="宋体" w:hAnsi="宋体" w:cs="宋体"/>
                <w:color w:val="000000"/>
                <w:kern w:val="0"/>
                <w:szCs w:val="21"/>
                <w:highlight w:val="none"/>
              </w:rPr>
              <w:t>格式</w:t>
            </w:r>
            <w:r>
              <w:rPr>
                <w:rFonts w:ascii="宋体" w:hAnsi="宋体"/>
                <w:color w:val="000000"/>
                <w:kern w:val="0"/>
                <w:szCs w:val="21"/>
                <w:highlight w:val="none"/>
              </w:rPr>
              <w:t>2)</w:t>
            </w:r>
          </w:p>
        </w:tc>
        <w:tc>
          <w:tcPr>
            <w:tcW w:w="720" w:type="dxa"/>
            <w:tcBorders>
              <w:top w:val="single" w:color="auto" w:sz="4" w:space="0"/>
              <w:left w:val="nil"/>
              <w:bottom w:val="single" w:color="auto" w:sz="4" w:space="0"/>
              <w:right w:val="single" w:color="auto" w:sz="4" w:space="0"/>
            </w:tcBorders>
            <w:vAlign w:val="bottom"/>
          </w:tcPr>
          <w:p w14:paraId="7F532747">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A3759D7">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1D4DF849">
            <w:pPr>
              <w:widowControl/>
              <w:jc w:val="center"/>
              <w:rPr>
                <w:rFonts w:ascii="宋体" w:hAnsi="宋体" w:cs="宋体"/>
                <w:b/>
                <w:bCs/>
                <w:color w:val="000000"/>
                <w:kern w:val="0"/>
                <w:szCs w:val="21"/>
                <w:highlight w:val="none"/>
              </w:rPr>
            </w:pPr>
          </w:p>
        </w:tc>
      </w:tr>
      <w:tr w14:paraId="3134268D">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35A68632">
            <w:pPr>
              <w:widowControl/>
              <w:rPr>
                <w:rFonts w:ascii="宋体" w:hAnsi="宋体" w:cs="宋体"/>
                <w:color w:val="000000"/>
                <w:kern w:val="0"/>
                <w:szCs w:val="21"/>
                <w:highlight w:val="none"/>
              </w:rPr>
            </w:pPr>
            <w:r>
              <w:rPr>
                <w:rFonts w:hint="eastAsia" w:ascii="宋体" w:hAnsi="宋体" w:cs="宋体"/>
                <w:color w:val="000000"/>
                <w:kern w:val="0"/>
                <w:szCs w:val="21"/>
                <w:highlight w:val="none"/>
              </w:rPr>
              <w:t>1.3</w:t>
            </w:r>
          </w:p>
        </w:tc>
        <w:tc>
          <w:tcPr>
            <w:tcW w:w="6696" w:type="dxa"/>
            <w:tcBorders>
              <w:top w:val="single" w:color="auto" w:sz="4" w:space="0"/>
              <w:left w:val="nil"/>
              <w:bottom w:val="single" w:color="auto" w:sz="4" w:space="0"/>
              <w:right w:val="single" w:color="auto" w:sz="4" w:space="0"/>
            </w:tcBorders>
            <w:vAlign w:val="center"/>
          </w:tcPr>
          <w:p w14:paraId="61855250">
            <w:pPr>
              <w:widowControl/>
              <w:rPr>
                <w:rFonts w:ascii="宋体" w:hAnsi="宋体" w:cs="宋体"/>
                <w:color w:val="000000"/>
                <w:kern w:val="0"/>
                <w:szCs w:val="21"/>
                <w:highlight w:val="none"/>
              </w:rPr>
            </w:pPr>
            <w:r>
              <w:rPr>
                <w:rFonts w:hint="eastAsia" w:ascii="宋体" w:hAnsi="宋体"/>
                <w:bCs/>
                <w:color w:val="000000"/>
                <w:szCs w:val="21"/>
                <w:highlight w:val="none"/>
              </w:rPr>
              <w:t>★</w:t>
            </w:r>
            <w:r>
              <w:rPr>
                <w:rFonts w:hint="eastAsia" w:ascii="宋体" w:hAnsi="宋体" w:cs="宋体"/>
                <w:color w:val="000000"/>
                <w:kern w:val="0"/>
                <w:szCs w:val="21"/>
                <w:highlight w:val="none"/>
              </w:rPr>
              <w:t>报价明细表（格式</w:t>
            </w:r>
            <w:r>
              <w:rPr>
                <w:rFonts w:ascii="宋体" w:hAnsi="宋体"/>
                <w:color w:val="000000"/>
                <w:kern w:val="0"/>
                <w:szCs w:val="21"/>
                <w:highlight w:val="none"/>
              </w:rPr>
              <w:t>3</w:t>
            </w:r>
            <w:r>
              <w:rPr>
                <w:rFonts w:hint="eastAsia" w:ascii="宋体" w:hAnsi="宋体" w:cs="宋体"/>
                <w:color w:val="000000"/>
                <w:kern w:val="0"/>
                <w:szCs w:val="21"/>
                <w:highlight w:val="none"/>
              </w:rPr>
              <w:t>）</w:t>
            </w:r>
          </w:p>
        </w:tc>
        <w:tc>
          <w:tcPr>
            <w:tcW w:w="720" w:type="dxa"/>
            <w:tcBorders>
              <w:top w:val="single" w:color="auto" w:sz="4" w:space="0"/>
              <w:left w:val="nil"/>
              <w:bottom w:val="single" w:color="auto" w:sz="4" w:space="0"/>
              <w:right w:val="single" w:color="auto" w:sz="4" w:space="0"/>
            </w:tcBorders>
            <w:vAlign w:val="bottom"/>
          </w:tcPr>
          <w:p w14:paraId="5507B50B">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6722038B">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348B25EC">
            <w:pPr>
              <w:widowControl/>
              <w:jc w:val="center"/>
              <w:rPr>
                <w:rFonts w:ascii="宋体" w:hAnsi="宋体" w:cs="宋体"/>
                <w:b/>
                <w:bCs/>
                <w:color w:val="000000"/>
                <w:kern w:val="0"/>
                <w:szCs w:val="21"/>
                <w:highlight w:val="none"/>
              </w:rPr>
            </w:pPr>
          </w:p>
        </w:tc>
      </w:tr>
      <w:tr w14:paraId="5C80D9ED">
        <w:tblPrEx>
          <w:tblCellMar>
            <w:top w:w="0" w:type="dxa"/>
            <w:left w:w="108" w:type="dxa"/>
            <w:bottom w:w="0" w:type="dxa"/>
            <w:right w:w="108" w:type="dxa"/>
          </w:tblCellMar>
        </w:tblPrEx>
        <w:trPr>
          <w:trHeight w:val="101" w:hRule="atLeast"/>
        </w:trPr>
        <w:tc>
          <w:tcPr>
            <w:tcW w:w="878" w:type="dxa"/>
            <w:tcBorders>
              <w:top w:val="single" w:color="auto" w:sz="4" w:space="0"/>
              <w:left w:val="single" w:color="auto" w:sz="4" w:space="0"/>
              <w:bottom w:val="single" w:color="auto" w:sz="4" w:space="0"/>
              <w:right w:val="single" w:color="auto" w:sz="4" w:space="0"/>
            </w:tcBorders>
            <w:vAlign w:val="center"/>
          </w:tcPr>
          <w:p w14:paraId="36A9562E">
            <w:pPr>
              <w:widowControl/>
              <w:rPr>
                <w:rFonts w:ascii="宋体" w:hAnsi="宋体" w:cs="宋体"/>
                <w:b/>
                <w:bCs/>
                <w:color w:val="000000"/>
                <w:kern w:val="0"/>
                <w:szCs w:val="21"/>
                <w:highlight w:val="none"/>
              </w:rPr>
            </w:pPr>
            <w:r>
              <w:rPr>
                <w:rFonts w:hint="eastAsia" w:ascii="宋体" w:hAnsi="宋体" w:cs="宋体"/>
                <w:color w:val="000000"/>
                <w:kern w:val="0"/>
                <w:szCs w:val="21"/>
                <w:highlight w:val="none"/>
              </w:rPr>
              <w:t>1.4</w:t>
            </w:r>
          </w:p>
        </w:tc>
        <w:tc>
          <w:tcPr>
            <w:tcW w:w="6696" w:type="dxa"/>
            <w:tcBorders>
              <w:top w:val="single" w:color="auto" w:sz="4" w:space="0"/>
              <w:left w:val="nil"/>
              <w:bottom w:val="single" w:color="auto" w:sz="4" w:space="0"/>
              <w:right w:val="single" w:color="auto" w:sz="4" w:space="0"/>
            </w:tcBorders>
            <w:vAlign w:val="center"/>
          </w:tcPr>
          <w:p w14:paraId="202BB0BE">
            <w:pPr>
              <w:widowControl/>
              <w:rPr>
                <w:rFonts w:ascii="宋体" w:hAnsi="宋体" w:cs="宋体"/>
                <w:b/>
                <w:bCs/>
                <w:color w:val="000000"/>
                <w:kern w:val="0"/>
                <w:szCs w:val="21"/>
                <w:highlight w:val="none"/>
              </w:rPr>
            </w:pPr>
            <w:r>
              <w:rPr>
                <w:rFonts w:hint="eastAsia" w:ascii="宋体" w:hAnsi="宋体"/>
                <w:bCs/>
                <w:color w:val="000000"/>
                <w:szCs w:val="21"/>
                <w:highlight w:val="none"/>
              </w:rPr>
              <w:t>★</w:t>
            </w:r>
            <w:r>
              <w:rPr>
                <w:rFonts w:hint="eastAsia" w:ascii="新宋体" w:hAnsi="新宋体" w:eastAsia="新宋体" w:cs="新宋体"/>
                <w:bCs/>
                <w:kern w:val="0"/>
                <w:szCs w:val="21"/>
                <w:highlight w:val="none"/>
              </w:rPr>
              <w:t>承诺函（格式4）</w:t>
            </w:r>
          </w:p>
        </w:tc>
        <w:tc>
          <w:tcPr>
            <w:tcW w:w="720" w:type="dxa"/>
            <w:tcBorders>
              <w:top w:val="single" w:color="auto" w:sz="4" w:space="0"/>
              <w:left w:val="nil"/>
              <w:bottom w:val="single" w:color="auto" w:sz="4" w:space="0"/>
              <w:right w:val="single" w:color="auto" w:sz="4" w:space="0"/>
            </w:tcBorders>
            <w:vAlign w:val="bottom"/>
          </w:tcPr>
          <w:p w14:paraId="7104A1E5">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41375F10">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6E5EDCF5">
            <w:pPr>
              <w:widowControl/>
              <w:jc w:val="center"/>
              <w:rPr>
                <w:rFonts w:ascii="宋体" w:hAnsi="宋体" w:cs="宋体"/>
                <w:b/>
                <w:bCs/>
                <w:color w:val="000000"/>
                <w:kern w:val="0"/>
                <w:szCs w:val="21"/>
                <w:highlight w:val="none"/>
              </w:rPr>
            </w:pPr>
          </w:p>
        </w:tc>
      </w:tr>
      <w:tr w14:paraId="20A394E9">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5402C77D">
            <w:pPr>
              <w:widowControl/>
              <w:rPr>
                <w:rFonts w:ascii="宋体" w:hAnsi="宋体" w:cs="宋体"/>
                <w:color w:val="000000"/>
                <w:kern w:val="0"/>
                <w:szCs w:val="21"/>
                <w:highlight w:val="none"/>
              </w:rPr>
            </w:pPr>
            <w:r>
              <w:rPr>
                <w:rFonts w:hint="eastAsia" w:ascii="宋体" w:hAnsi="宋体" w:cs="宋体"/>
                <w:b/>
                <w:bCs/>
                <w:color w:val="000000"/>
                <w:kern w:val="0"/>
                <w:szCs w:val="21"/>
                <w:highlight w:val="none"/>
              </w:rPr>
              <w:t>二</w:t>
            </w:r>
          </w:p>
        </w:tc>
        <w:tc>
          <w:tcPr>
            <w:tcW w:w="6696" w:type="dxa"/>
            <w:tcBorders>
              <w:top w:val="single" w:color="auto" w:sz="4" w:space="0"/>
              <w:left w:val="nil"/>
              <w:bottom w:val="single" w:color="auto" w:sz="4" w:space="0"/>
              <w:right w:val="single" w:color="auto" w:sz="4" w:space="0"/>
            </w:tcBorders>
            <w:vAlign w:val="center"/>
          </w:tcPr>
          <w:p w14:paraId="21288B51">
            <w:pPr>
              <w:widowControl/>
              <w:rPr>
                <w:rFonts w:ascii="宋体" w:hAnsi="宋体" w:cs="宋体"/>
                <w:color w:val="000000"/>
                <w:kern w:val="0"/>
                <w:szCs w:val="21"/>
                <w:highlight w:val="none"/>
              </w:rPr>
            </w:pPr>
            <w:r>
              <w:rPr>
                <w:rFonts w:hint="eastAsia" w:ascii="宋体" w:hAnsi="宋体" w:cs="宋体"/>
                <w:b/>
                <w:bCs/>
                <w:color w:val="000000"/>
                <w:kern w:val="0"/>
                <w:szCs w:val="21"/>
                <w:highlight w:val="none"/>
              </w:rPr>
              <w:t>资格性、符合性审查文件</w:t>
            </w:r>
          </w:p>
        </w:tc>
        <w:tc>
          <w:tcPr>
            <w:tcW w:w="720" w:type="dxa"/>
            <w:tcBorders>
              <w:top w:val="single" w:color="auto" w:sz="4" w:space="0"/>
              <w:left w:val="nil"/>
              <w:bottom w:val="single" w:color="auto" w:sz="4" w:space="0"/>
              <w:right w:val="single" w:color="auto" w:sz="4" w:space="0"/>
            </w:tcBorders>
            <w:vAlign w:val="bottom"/>
          </w:tcPr>
          <w:p w14:paraId="68AF2828">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632D5588">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6E4CB4CD">
            <w:pPr>
              <w:widowControl/>
              <w:jc w:val="center"/>
              <w:rPr>
                <w:rFonts w:ascii="宋体" w:hAnsi="宋体" w:cs="宋体"/>
                <w:b/>
                <w:bCs/>
                <w:color w:val="000000"/>
                <w:kern w:val="0"/>
                <w:szCs w:val="21"/>
                <w:highlight w:val="none"/>
              </w:rPr>
            </w:pPr>
          </w:p>
        </w:tc>
      </w:tr>
      <w:tr w14:paraId="2F5C6E9B">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5A91689B">
            <w:pPr>
              <w:widowControl/>
              <w:rPr>
                <w:rFonts w:ascii="宋体" w:hAnsi="宋体" w:cs="宋体"/>
                <w:color w:val="000000"/>
                <w:kern w:val="0"/>
                <w:szCs w:val="21"/>
                <w:highlight w:val="none"/>
              </w:rPr>
            </w:pPr>
            <w:r>
              <w:rPr>
                <w:rFonts w:hint="eastAsia" w:ascii="宋体" w:hAnsi="宋体" w:cs="宋体"/>
                <w:color w:val="000000"/>
                <w:kern w:val="0"/>
                <w:szCs w:val="21"/>
                <w:highlight w:val="none"/>
              </w:rPr>
              <w:t>2.1</w:t>
            </w:r>
          </w:p>
        </w:tc>
        <w:tc>
          <w:tcPr>
            <w:tcW w:w="6696" w:type="dxa"/>
            <w:tcBorders>
              <w:top w:val="single" w:color="auto" w:sz="4" w:space="0"/>
              <w:left w:val="nil"/>
              <w:bottom w:val="single" w:color="auto" w:sz="4" w:space="0"/>
              <w:right w:val="single" w:color="auto" w:sz="4" w:space="0"/>
            </w:tcBorders>
            <w:vAlign w:val="center"/>
          </w:tcPr>
          <w:p w14:paraId="05981841">
            <w:pPr>
              <w:widowControl/>
              <w:rPr>
                <w:rFonts w:ascii="宋体" w:hAnsi="宋体" w:cs="宋体"/>
                <w:color w:val="000000"/>
                <w:kern w:val="0"/>
                <w:szCs w:val="21"/>
                <w:highlight w:val="none"/>
              </w:rPr>
            </w:pPr>
            <w:r>
              <w:rPr>
                <w:rFonts w:hint="eastAsia" w:ascii="宋体" w:hAnsi="宋体"/>
                <w:bCs/>
                <w:color w:val="000000"/>
                <w:szCs w:val="21"/>
                <w:highlight w:val="none"/>
              </w:rPr>
              <w:t>★</w:t>
            </w:r>
            <w:r>
              <w:rPr>
                <w:rFonts w:hint="eastAsia" w:ascii="宋体" w:hAnsi="宋体" w:cs="宋体"/>
                <w:color w:val="000000"/>
                <w:kern w:val="0"/>
                <w:szCs w:val="21"/>
                <w:highlight w:val="none"/>
              </w:rPr>
              <w:t>法定代表人证明及授权书</w:t>
            </w:r>
            <w:r>
              <w:rPr>
                <w:rFonts w:ascii="宋体" w:hAnsi="宋体" w:cs="宋体"/>
                <w:color w:val="000000"/>
                <w:kern w:val="0"/>
                <w:szCs w:val="21"/>
                <w:highlight w:val="none"/>
              </w:rPr>
              <w:t>(</w:t>
            </w:r>
            <w:r>
              <w:rPr>
                <w:rFonts w:hint="eastAsia" w:ascii="宋体" w:hAnsi="宋体" w:cs="宋体"/>
                <w:color w:val="000000"/>
                <w:kern w:val="0"/>
                <w:szCs w:val="21"/>
                <w:highlight w:val="none"/>
              </w:rPr>
              <w:t>格式5</w:t>
            </w:r>
            <w:r>
              <w:rPr>
                <w:rFonts w:ascii="宋体" w:hAnsi="宋体" w:cs="宋体"/>
                <w:color w:val="000000"/>
                <w:kern w:val="0"/>
                <w:szCs w:val="21"/>
                <w:highlight w:val="none"/>
              </w:rPr>
              <w:t>)</w:t>
            </w:r>
          </w:p>
        </w:tc>
        <w:tc>
          <w:tcPr>
            <w:tcW w:w="720" w:type="dxa"/>
            <w:tcBorders>
              <w:top w:val="single" w:color="auto" w:sz="4" w:space="0"/>
              <w:left w:val="nil"/>
              <w:bottom w:val="single" w:color="auto" w:sz="4" w:space="0"/>
              <w:right w:val="single" w:color="auto" w:sz="4" w:space="0"/>
            </w:tcBorders>
            <w:vAlign w:val="bottom"/>
          </w:tcPr>
          <w:p w14:paraId="3573E32F">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2AB038DD">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38105518">
            <w:pPr>
              <w:widowControl/>
              <w:jc w:val="center"/>
              <w:rPr>
                <w:rFonts w:ascii="宋体" w:hAnsi="宋体" w:cs="宋体"/>
                <w:b/>
                <w:bCs/>
                <w:color w:val="000000"/>
                <w:kern w:val="0"/>
                <w:szCs w:val="21"/>
                <w:highlight w:val="none"/>
              </w:rPr>
            </w:pPr>
          </w:p>
        </w:tc>
      </w:tr>
      <w:tr w14:paraId="1C193D2A">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579A4E94">
            <w:pPr>
              <w:widowControl/>
              <w:rPr>
                <w:rFonts w:ascii="宋体" w:hAnsi="宋体" w:cs="宋体"/>
                <w:color w:val="000000"/>
                <w:kern w:val="0"/>
                <w:szCs w:val="21"/>
                <w:highlight w:val="none"/>
              </w:rPr>
            </w:pPr>
            <w:r>
              <w:rPr>
                <w:rFonts w:hint="eastAsia" w:ascii="宋体" w:hAnsi="宋体" w:cs="宋体"/>
                <w:color w:val="000000"/>
                <w:kern w:val="0"/>
                <w:szCs w:val="21"/>
                <w:highlight w:val="none"/>
              </w:rPr>
              <w:t>2.2</w:t>
            </w:r>
          </w:p>
        </w:tc>
        <w:tc>
          <w:tcPr>
            <w:tcW w:w="6696" w:type="dxa"/>
            <w:tcBorders>
              <w:top w:val="single" w:color="auto" w:sz="4" w:space="0"/>
              <w:left w:val="nil"/>
              <w:bottom w:val="single" w:color="auto" w:sz="4" w:space="0"/>
              <w:right w:val="single" w:color="auto" w:sz="4" w:space="0"/>
            </w:tcBorders>
            <w:vAlign w:val="center"/>
          </w:tcPr>
          <w:p w14:paraId="71A008CE">
            <w:pPr>
              <w:widowControl/>
              <w:rPr>
                <w:rFonts w:ascii="宋体" w:hAnsi="宋体" w:cs="宋体"/>
                <w:color w:val="000000"/>
                <w:kern w:val="0"/>
                <w:szCs w:val="21"/>
                <w:highlight w:val="none"/>
              </w:rPr>
            </w:pPr>
            <w:r>
              <w:rPr>
                <w:rFonts w:hint="eastAsia" w:ascii="宋体" w:hAnsi="宋体"/>
                <w:bCs/>
                <w:color w:val="000000"/>
                <w:szCs w:val="21"/>
                <w:highlight w:val="none"/>
              </w:rPr>
              <w:t>★</w:t>
            </w:r>
            <w:r>
              <w:rPr>
                <w:rFonts w:hint="eastAsia" w:ascii="宋体" w:hAnsi="宋体" w:cs="宋体"/>
                <w:color w:val="000000"/>
                <w:kern w:val="0"/>
                <w:szCs w:val="21"/>
                <w:highlight w:val="none"/>
              </w:rPr>
              <w:t>资格声明函</w:t>
            </w:r>
            <w:r>
              <w:rPr>
                <w:rFonts w:ascii="宋体" w:hAnsi="宋体"/>
                <w:color w:val="000000"/>
                <w:kern w:val="0"/>
                <w:szCs w:val="21"/>
                <w:highlight w:val="none"/>
              </w:rPr>
              <w:t>(</w:t>
            </w:r>
            <w:r>
              <w:rPr>
                <w:rFonts w:hint="eastAsia" w:ascii="宋体" w:hAnsi="宋体" w:cs="宋体"/>
                <w:color w:val="000000"/>
                <w:kern w:val="0"/>
                <w:szCs w:val="21"/>
                <w:highlight w:val="none"/>
              </w:rPr>
              <w:t>格式</w:t>
            </w:r>
            <w:r>
              <w:rPr>
                <w:rFonts w:hint="eastAsia" w:ascii="宋体" w:hAnsi="宋体"/>
                <w:color w:val="000000"/>
                <w:kern w:val="0"/>
                <w:szCs w:val="21"/>
                <w:highlight w:val="none"/>
              </w:rPr>
              <w:t>6</w:t>
            </w:r>
            <w:r>
              <w:rPr>
                <w:rFonts w:ascii="宋体" w:hAnsi="宋体"/>
                <w:color w:val="000000"/>
                <w:kern w:val="0"/>
                <w:szCs w:val="21"/>
                <w:highlight w:val="none"/>
              </w:rPr>
              <w:t>)</w:t>
            </w:r>
          </w:p>
        </w:tc>
        <w:tc>
          <w:tcPr>
            <w:tcW w:w="720" w:type="dxa"/>
            <w:tcBorders>
              <w:top w:val="single" w:color="auto" w:sz="4" w:space="0"/>
              <w:left w:val="nil"/>
              <w:bottom w:val="single" w:color="auto" w:sz="4" w:space="0"/>
              <w:right w:val="single" w:color="auto" w:sz="4" w:space="0"/>
            </w:tcBorders>
            <w:vAlign w:val="bottom"/>
          </w:tcPr>
          <w:p w14:paraId="65815CF8">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1876D2D9">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2BBFA9E3">
            <w:pPr>
              <w:widowControl/>
              <w:jc w:val="center"/>
              <w:rPr>
                <w:rFonts w:ascii="宋体" w:hAnsi="宋体" w:cs="宋体"/>
                <w:b/>
                <w:bCs/>
                <w:color w:val="000000"/>
                <w:kern w:val="0"/>
                <w:szCs w:val="21"/>
                <w:highlight w:val="none"/>
              </w:rPr>
            </w:pPr>
          </w:p>
        </w:tc>
      </w:tr>
      <w:tr w14:paraId="33512A8F">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595E7C13">
            <w:pPr>
              <w:widowControl/>
              <w:rPr>
                <w:rFonts w:ascii="宋体" w:hAnsi="宋体" w:cs="宋体"/>
                <w:color w:val="000000"/>
                <w:kern w:val="0"/>
                <w:szCs w:val="21"/>
                <w:highlight w:val="none"/>
              </w:rPr>
            </w:pPr>
            <w:r>
              <w:rPr>
                <w:rFonts w:hint="eastAsia" w:ascii="宋体" w:hAnsi="宋体" w:cs="宋体"/>
                <w:color w:val="000000"/>
                <w:kern w:val="0"/>
                <w:szCs w:val="21"/>
                <w:highlight w:val="none"/>
              </w:rPr>
              <w:t>2.3</w:t>
            </w:r>
          </w:p>
        </w:tc>
        <w:tc>
          <w:tcPr>
            <w:tcW w:w="6696" w:type="dxa"/>
            <w:tcBorders>
              <w:top w:val="single" w:color="auto" w:sz="4" w:space="0"/>
              <w:left w:val="nil"/>
              <w:bottom w:val="single" w:color="auto" w:sz="4" w:space="0"/>
              <w:right w:val="single" w:color="auto" w:sz="4" w:space="0"/>
            </w:tcBorders>
            <w:vAlign w:val="center"/>
          </w:tcPr>
          <w:p w14:paraId="748ED65C">
            <w:pPr>
              <w:widowControl/>
              <w:rPr>
                <w:rFonts w:ascii="宋体" w:hAnsi="宋体"/>
                <w:bCs/>
                <w:color w:val="000000"/>
                <w:szCs w:val="21"/>
                <w:highlight w:val="none"/>
              </w:rPr>
            </w:pPr>
            <w:r>
              <w:rPr>
                <w:rFonts w:hint="eastAsia" w:ascii="宋体" w:hAnsi="宋体"/>
                <w:bCs/>
                <w:color w:val="000000"/>
                <w:szCs w:val="21"/>
                <w:highlight w:val="none"/>
              </w:rPr>
              <w:t>无商业贿赂承诺书</w:t>
            </w:r>
            <w:r>
              <w:rPr>
                <w:rFonts w:ascii="宋体" w:hAnsi="宋体"/>
                <w:color w:val="000000"/>
                <w:kern w:val="0"/>
                <w:szCs w:val="21"/>
                <w:highlight w:val="none"/>
              </w:rPr>
              <w:t>(</w:t>
            </w:r>
            <w:r>
              <w:rPr>
                <w:rFonts w:hint="eastAsia" w:ascii="宋体" w:hAnsi="宋体" w:cs="宋体"/>
                <w:color w:val="000000"/>
                <w:kern w:val="0"/>
                <w:szCs w:val="21"/>
                <w:highlight w:val="none"/>
              </w:rPr>
              <w:t>格式7</w:t>
            </w:r>
            <w:r>
              <w:rPr>
                <w:rFonts w:ascii="宋体" w:hAnsi="宋体"/>
                <w:color w:val="000000"/>
                <w:kern w:val="0"/>
                <w:szCs w:val="21"/>
                <w:highlight w:val="none"/>
              </w:rPr>
              <w:t>)</w:t>
            </w:r>
          </w:p>
        </w:tc>
        <w:tc>
          <w:tcPr>
            <w:tcW w:w="720" w:type="dxa"/>
            <w:tcBorders>
              <w:top w:val="single" w:color="auto" w:sz="4" w:space="0"/>
              <w:left w:val="nil"/>
              <w:bottom w:val="single" w:color="auto" w:sz="4" w:space="0"/>
              <w:right w:val="single" w:color="auto" w:sz="4" w:space="0"/>
            </w:tcBorders>
            <w:vAlign w:val="bottom"/>
          </w:tcPr>
          <w:p w14:paraId="64FADBF3">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6444E45">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20783029">
            <w:pPr>
              <w:widowControl/>
              <w:jc w:val="center"/>
              <w:rPr>
                <w:rFonts w:ascii="宋体" w:hAnsi="宋体" w:cs="宋体"/>
                <w:b/>
                <w:bCs/>
                <w:color w:val="000000"/>
                <w:kern w:val="0"/>
                <w:szCs w:val="21"/>
                <w:highlight w:val="none"/>
              </w:rPr>
            </w:pPr>
          </w:p>
        </w:tc>
      </w:tr>
      <w:tr w14:paraId="393F23EB">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3A9CDA7A">
            <w:pPr>
              <w:widowControl/>
              <w:rPr>
                <w:rFonts w:ascii="宋体" w:hAnsi="宋体" w:cs="宋体"/>
                <w:color w:val="000000"/>
                <w:kern w:val="0"/>
                <w:szCs w:val="21"/>
                <w:highlight w:val="none"/>
              </w:rPr>
            </w:pPr>
            <w:r>
              <w:rPr>
                <w:rFonts w:hint="eastAsia" w:ascii="宋体" w:hAnsi="宋体" w:cs="宋体"/>
                <w:color w:val="000000"/>
                <w:kern w:val="0"/>
                <w:szCs w:val="21"/>
                <w:highlight w:val="none"/>
              </w:rPr>
              <w:t>2.4</w:t>
            </w:r>
          </w:p>
        </w:tc>
        <w:tc>
          <w:tcPr>
            <w:tcW w:w="6696" w:type="dxa"/>
            <w:tcBorders>
              <w:top w:val="single" w:color="auto" w:sz="4" w:space="0"/>
              <w:left w:val="nil"/>
              <w:bottom w:val="single" w:color="auto" w:sz="4" w:space="0"/>
              <w:right w:val="single" w:color="auto" w:sz="4" w:space="0"/>
            </w:tcBorders>
            <w:vAlign w:val="center"/>
          </w:tcPr>
          <w:p w14:paraId="7FFDD943">
            <w:pPr>
              <w:widowControl/>
              <w:rPr>
                <w:rFonts w:ascii="宋体" w:hAnsi="宋体" w:cs="宋体"/>
                <w:color w:val="000000"/>
                <w:kern w:val="0"/>
                <w:szCs w:val="21"/>
                <w:highlight w:val="none"/>
              </w:rPr>
            </w:pPr>
            <w:r>
              <w:rPr>
                <w:rFonts w:hint="eastAsia" w:ascii="宋体" w:hAnsi="宋体"/>
                <w:bCs/>
                <w:color w:val="000000"/>
                <w:szCs w:val="21"/>
                <w:highlight w:val="none"/>
              </w:rPr>
              <w:t>★</w:t>
            </w:r>
            <w:r>
              <w:rPr>
                <w:rFonts w:hint="eastAsia" w:ascii="宋体" w:hAnsi="宋体" w:cs="宋体"/>
                <w:color w:val="000000"/>
                <w:kern w:val="0"/>
                <w:szCs w:val="21"/>
                <w:highlight w:val="none"/>
              </w:rPr>
              <w:t>投标人营业执照或事业法人证书副本复印件</w:t>
            </w:r>
          </w:p>
        </w:tc>
        <w:tc>
          <w:tcPr>
            <w:tcW w:w="720" w:type="dxa"/>
            <w:tcBorders>
              <w:top w:val="single" w:color="auto" w:sz="4" w:space="0"/>
              <w:left w:val="nil"/>
              <w:bottom w:val="single" w:color="auto" w:sz="4" w:space="0"/>
              <w:right w:val="single" w:color="auto" w:sz="4" w:space="0"/>
            </w:tcBorders>
            <w:vAlign w:val="bottom"/>
          </w:tcPr>
          <w:p w14:paraId="2873F36D">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A348346">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554AA1E9">
            <w:pPr>
              <w:widowControl/>
              <w:jc w:val="center"/>
              <w:rPr>
                <w:rFonts w:ascii="宋体" w:hAnsi="宋体" w:cs="宋体"/>
                <w:b/>
                <w:bCs/>
                <w:color w:val="000000"/>
                <w:kern w:val="0"/>
                <w:szCs w:val="21"/>
                <w:highlight w:val="none"/>
              </w:rPr>
            </w:pPr>
          </w:p>
        </w:tc>
      </w:tr>
      <w:tr w14:paraId="3AB92606">
        <w:tblPrEx>
          <w:tblCellMar>
            <w:top w:w="0" w:type="dxa"/>
            <w:left w:w="108" w:type="dxa"/>
            <w:bottom w:w="0" w:type="dxa"/>
            <w:right w:w="108" w:type="dxa"/>
          </w:tblCellMar>
        </w:tblPrEx>
        <w:trPr>
          <w:trHeight w:val="91" w:hRule="atLeast"/>
        </w:trPr>
        <w:tc>
          <w:tcPr>
            <w:tcW w:w="878" w:type="dxa"/>
            <w:tcBorders>
              <w:top w:val="single" w:color="auto" w:sz="4" w:space="0"/>
              <w:left w:val="single" w:color="auto" w:sz="4" w:space="0"/>
              <w:bottom w:val="single" w:color="auto" w:sz="4" w:space="0"/>
              <w:right w:val="single" w:color="auto" w:sz="4" w:space="0"/>
            </w:tcBorders>
            <w:vAlign w:val="center"/>
          </w:tcPr>
          <w:p w14:paraId="2B792662">
            <w:pPr>
              <w:widowControl/>
              <w:rPr>
                <w:rFonts w:ascii="宋体" w:hAnsi="宋体" w:cs="宋体"/>
                <w:b/>
                <w:bCs/>
                <w:color w:val="000000"/>
                <w:kern w:val="0"/>
                <w:szCs w:val="21"/>
                <w:highlight w:val="none"/>
              </w:rPr>
            </w:pPr>
            <w:r>
              <w:rPr>
                <w:rFonts w:hint="eastAsia" w:ascii="宋体" w:hAnsi="宋体" w:cs="宋体"/>
                <w:color w:val="000000"/>
                <w:kern w:val="0"/>
                <w:szCs w:val="21"/>
                <w:highlight w:val="none"/>
              </w:rPr>
              <w:t>2.5</w:t>
            </w:r>
          </w:p>
        </w:tc>
        <w:tc>
          <w:tcPr>
            <w:tcW w:w="6696" w:type="dxa"/>
            <w:tcBorders>
              <w:top w:val="single" w:color="auto" w:sz="4" w:space="0"/>
              <w:left w:val="nil"/>
              <w:bottom w:val="single" w:color="auto" w:sz="4" w:space="0"/>
              <w:right w:val="single" w:color="auto" w:sz="4" w:space="0"/>
            </w:tcBorders>
            <w:vAlign w:val="center"/>
          </w:tcPr>
          <w:p w14:paraId="48A9B6CD">
            <w:pPr>
              <w:widowControl/>
              <w:rPr>
                <w:rFonts w:ascii="宋体" w:hAnsi="宋体" w:cs="宋体"/>
                <w:color w:val="000000"/>
                <w:kern w:val="0"/>
                <w:szCs w:val="21"/>
                <w:highlight w:val="none"/>
              </w:rPr>
            </w:pPr>
            <w:r>
              <w:rPr>
                <w:rFonts w:hint="eastAsia" w:ascii="宋体" w:hAnsi="宋体" w:cs="宋体"/>
                <w:color w:val="000000"/>
                <w:kern w:val="0"/>
                <w:szCs w:val="21"/>
                <w:highlight w:val="none"/>
              </w:rPr>
              <w:t>组织机构代码证，国、地税务登记证副本复印件</w:t>
            </w:r>
          </w:p>
        </w:tc>
        <w:tc>
          <w:tcPr>
            <w:tcW w:w="720" w:type="dxa"/>
            <w:tcBorders>
              <w:top w:val="single" w:color="auto" w:sz="4" w:space="0"/>
              <w:left w:val="nil"/>
              <w:bottom w:val="single" w:color="auto" w:sz="4" w:space="0"/>
              <w:right w:val="single" w:color="auto" w:sz="4" w:space="0"/>
            </w:tcBorders>
            <w:vAlign w:val="bottom"/>
          </w:tcPr>
          <w:p w14:paraId="4FDE7822">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4B48904">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3BBC737B">
            <w:pPr>
              <w:widowControl/>
              <w:jc w:val="center"/>
              <w:rPr>
                <w:rFonts w:ascii="宋体" w:hAnsi="宋体" w:cs="宋体"/>
                <w:b/>
                <w:bCs/>
                <w:color w:val="000000"/>
                <w:kern w:val="0"/>
                <w:szCs w:val="21"/>
                <w:highlight w:val="none"/>
              </w:rPr>
            </w:pPr>
          </w:p>
        </w:tc>
      </w:tr>
      <w:tr w14:paraId="708D40DB">
        <w:tblPrEx>
          <w:tblCellMar>
            <w:top w:w="0" w:type="dxa"/>
            <w:left w:w="108" w:type="dxa"/>
            <w:bottom w:w="0" w:type="dxa"/>
            <w:right w:w="108" w:type="dxa"/>
          </w:tblCellMar>
        </w:tblPrEx>
        <w:trPr>
          <w:trHeight w:val="285" w:hRule="atLeast"/>
        </w:trPr>
        <w:tc>
          <w:tcPr>
            <w:tcW w:w="878" w:type="dxa"/>
            <w:tcBorders>
              <w:top w:val="single" w:color="auto" w:sz="4" w:space="0"/>
              <w:left w:val="single" w:color="auto" w:sz="4" w:space="0"/>
              <w:bottom w:val="single" w:color="auto" w:sz="4" w:space="0"/>
              <w:right w:val="single" w:color="auto" w:sz="4" w:space="0"/>
            </w:tcBorders>
            <w:vAlign w:val="center"/>
          </w:tcPr>
          <w:p w14:paraId="5443AE41">
            <w:pPr>
              <w:widowControl/>
              <w:rPr>
                <w:rFonts w:ascii="宋体" w:hAnsi="宋体" w:cs="宋体"/>
                <w:color w:val="000000"/>
                <w:kern w:val="0"/>
                <w:szCs w:val="21"/>
                <w:highlight w:val="none"/>
              </w:rPr>
            </w:pPr>
            <w:r>
              <w:rPr>
                <w:rFonts w:hint="eastAsia" w:ascii="宋体" w:hAnsi="宋体" w:cs="宋体"/>
                <w:color w:val="000000"/>
                <w:kern w:val="0"/>
                <w:szCs w:val="21"/>
                <w:highlight w:val="none"/>
              </w:rPr>
              <w:t>2.6</w:t>
            </w:r>
          </w:p>
        </w:tc>
        <w:tc>
          <w:tcPr>
            <w:tcW w:w="6696" w:type="dxa"/>
            <w:tcBorders>
              <w:top w:val="single" w:color="auto" w:sz="4" w:space="0"/>
              <w:left w:val="nil"/>
              <w:bottom w:val="single" w:color="auto" w:sz="4" w:space="0"/>
              <w:right w:val="single" w:color="auto" w:sz="4" w:space="0"/>
            </w:tcBorders>
            <w:vAlign w:val="center"/>
          </w:tcPr>
          <w:p w14:paraId="3B7EE0AD">
            <w:pPr>
              <w:widowControl/>
              <w:rPr>
                <w:rFonts w:ascii="宋体" w:hAnsi="宋体" w:cs="宋体"/>
                <w:b/>
                <w:bCs/>
                <w:color w:val="000000"/>
                <w:kern w:val="0"/>
                <w:szCs w:val="21"/>
                <w:highlight w:val="none"/>
              </w:rPr>
            </w:pPr>
            <w:r>
              <w:rPr>
                <w:rFonts w:hint="eastAsia" w:ascii="宋体" w:hAnsi="宋体" w:cs="宋体"/>
                <w:color w:val="000000"/>
                <w:kern w:val="0"/>
                <w:szCs w:val="21"/>
                <w:highlight w:val="none"/>
              </w:rPr>
              <w:t>其他资格证明文件</w:t>
            </w:r>
          </w:p>
        </w:tc>
        <w:tc>
          <w:tcPr>
            <w:tcW w:w="720" w:type="dxa"/>
            <w:tcBorders>
              <w:top w:val="single" w:color="auto" w:sz="4" w:space="0"/>
              <w:left w:val="nil"/>
              <w:bottom w:val="single" w:color="auto" w:sz="4" w:space="0"/>
              <w:right w:val="single" w:color="auto" w:sz="4" w:space="0"/>
            </w:tcBorders>
            <w:vAlign w:val="bottom"/>
          </w:tcPr>
          <w:p w14:paraId="06495084">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FAC6984">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1CC9B5DB">
            <w:pPr>
              <w:widowControl/>
              <w:jc w:val="center"/>
              <w:rPr>
                <w:rFonts w:ascii="宋体" w:hAnsi="宋体" w:cs="宋体"/>
                <w:b/>
                <w:bCs/>
                <w:color w:val="000000"/>
                <w:kern w:val="0"/>
                <w:szCs w:val="21"/>
                <w:highlight w:val="none"/>
              </w:rPr>
            </w:pPr>
          </w:p>
        </w:tc>
      </w:tr>
      <w:tr w14:paraId="73BAC1FD">
        <w:tblPrEx>
          <w:tblCellMar>
            <w:top w:w="0" w:type="dxa"/>
            <w:left w:w="108" w:type="dxa"/>
            <w:bottom w:w="0" w:type="dxa"/>
            <w:right w:w="108" w:type="dxa"/>
          </w:tblCellMar>
        </w:tblPrEx>
        <w:trPr>
          <w:trHeight w:val="161" w:hRule="atLeast"/>
        </w:trPr>
        <w:tc>
          <w:tcPr>
            <w:tcW w:w="878" w:type="dxa"/>
            <w:tcBorders>
              <w:top w:val="single" w:color="auto" w:sz="4" w:space="0"/>
              <w:left w:val="single" w:color="auto" w:sz="4" w:space="0"/>
              <w:bottom w:val="single" w:color="auto" w:sz="4" w:space="0"/>
              <w:right w:val="single" w:color="auto" w:sz="4" w:space="0"/>
            </w:tcBorders>
            <w:vAlign w:val="center"/>
          </w:tcPr>
          <w:p w14:paraId="2F27ACB7">
            <w:pPr>
              <w:widowControl/>
              <w:rPr>
                <w:rFonts w:ascii="宋体" w:hAnsi="宋体" w:cs="宋体"/>
                <w:color w:val="000000"/>
                <w:kern w:val="0"/>
                <w:szCs w:val="21"/>
                <w:highlight w:val="none"/>
              </w:rPr>
            </w:pPr>
            <w:r>
              <w:rPr>
                <w:rFonts w:hint="eastAsia" w:ascii="宋体" w:hAnsi="宋体" w:cs="宋体"/>
                <w:color w:val="000000"/>
                <w:kern w:val="0"/>
                <w:szCs w:val="21"/>
                <w:highlight w:val="none"/>
              </w:rPr>
              <w:t>2.7</w:t>
            </w:r>
          </w:p>
        </w:tc>
        <w:tc>
          <w:tcPr>
            <w:tcW w:w="6696" w:type="dxa"/>
            <w:tcBorders>
              <w:top w:val="single" w:color="auto" w:sz="4" w:space="0"/>
              <w:left w:val="nil"/>
              <w:bottom w:val="single" w:color="auto" w:sz="4" w:space="0"/>
              <w:right w:val="single" w:color="auto" w:sz="4" w:space="0"/>
            </w:tcBorders>
            <w:vAlign w:val="center"/>
          </w:tcPr>
          <w:p w14:paraId="2783485C">
            <w:pPr>
              <w:widowControl/>
              <w:rPr>
                <w:rFonts w:ascii="宋体" w:hAnsi="宋体" w:cs="宋体"/>
                <w:color w:val="000000"/>
                <w:kern w:val="0"/>
                <w:szCs w:val="21"/>
                <w:highlight w:val="none"/>
              </w:rPr>
            </w:pPr>
            <w:r>
              <w:rPr>
                <w:rFonts w:hint="eastAsia" w:ascii="宋体" w:hAnsi="宋体"/>
                <w:bCs/>
                <w:color w:val="000000"/>
                <w:szCs w:val="21"/>
                <w:highlight w:val="none"/>
              </w:rPr>
              <w:t>★</w:t>
            </w:r>
            <w:r>
              <w:rPr>
                <w:rFonts w:hint="eastAsia" w:ascii="宋体" w:hAnsi="宋体"/>
                <w:color w:val="000000"/>
                <w:szCs w:val="21"/>
                <w:highlight w:val="none"/>
              </w:rPr>
              <w:t>实质性条款响应一览表</w:t>
            </w:r>
            <w:r>
              <w:rPr>
                <w:rFonts w:ascii="宋体" w:hAnsi="宋体"/>
                <w:color w:val="000000"/>
                <w:szCs w:val="21"/>
                <w:highlight w:val="none"/>
              </w:rPr>
              <w:t>(</w:t>
            </w:r>
            <w:r>
              <w:rPr>
                <w:rFonts w:hint="eastAsia" w:ascii="宋体" w:hAnsi="宋体"/>
                <w:color w:val="000000"/>
                <w:szCs w:val="21"/>
                <w:highlight w:val="none"/>
              </w:rPr>
              <w:t>格式8</w:t>
            </w:r>
            <w:r>
              <w:rPr>
                <w:rFonts w:ascii="宋体" w:hAnsi="宋体"/>
                <w:color w:val="000000"/>
                <w:szCs w:val="21"/>
                <w:highlight w:val="none"/>
              </w:rPr>
              <w:t>)</w:t>
            </w:r>
          </w:p>
        </w:tc>
        <w:tc>
          <w:tcPr>
            <w:tcW w:w="720" w:type="dxa"/>
            <w:tcBorders>
              <w:top w:val="single" w:color="auto" w:sz="4" w:space="0"/>
              <w:left w:val="nil"/>
              <w:bottom w:val="single" w:color="auto" w:sz="4" w:space="0"/>
              <w:right w:val="single" w:color="auto" w:sz="4" w:space="0"/>
            </w:tcBorders>
            <w:vAlign w:val="bottom"/>
          </w:tcPr>
          <w:p w14:paraId="1808C071">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DA896BE">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4FC3C5DF">
            <w:pPr>
              <w:widowControl/>
              <w:jc w:val="center"/>
              <w:rPr>
                <w:rFonts w:ascii="宋体" w:hAnsi="宋体" w:cs="宋体"/>
                <w:b/>
                <w:bCs/>
                <w:color w:val="000000"/>
                <w:kern w:val="0"/>
                <w:szCs w:val="21"/>
                <w:highlight w:val="none"/>
              </w:rPr>
            </w:pPr>
          </w:p>
        </w:tc>
      </w:tr>
      <w:tr w14:paraId="65548F81">
        <w:tblPrEx>
          <w:tblCellMar>
            <w:top w:w="0" w:type="dxa"/>
            <w:left w:w="108" w:type="dxa"/>
            <w:bottom w:w="0" w:type="dxa"/>
            <w:right w:w="108" w:type="dxa"/>
          </w:tblCellMar>
        </w:tblPrEx>
        <w:trPr>
          <w:trHeight w:val="161" w:hRule="atLeast"/>
        </w:trPr>
        <w:tc>
          <w:tcPr>
            <w:tcW w:w="878" w:type="dxa"/>
            <w:tcBorders>
              <w:top w:val="single" w:color="auto" w:sz="4" w:space="0"/>
              <w:left w:val="single" w:color="auto" w:sz="4" w:space="0"/>
              <w:bottom w:val="single" w:color="auto" w:sz="4" w:space="0"/>
              <w:right w:val="single" w:color="auto" w:sz="4" w:space="0"/>
            </w:tcBorders>
            <w:vAlign w:val="center"/>
          </w:tcPr>
          <w:p w14:paraId="41AB2D78">
            <w:pPr>
              <w:widowControl/>
              <w:rPr>
                <w:rFonts w:ascii="宋体" w:hAnsi="宋体" w:cs="宋体"/>
                <w:color w:val="000000"/>
                <w:kern w:val="0"/>
                <w:szCs w:val="21"/>
                <w:highlight w:val="none"/>
              </w:rPr>
            </w:pPr>
            <w:r>
              <w:rPr>
                <w:rFonts w:hint="eastAsia" w:ascii="宋体" w:hAnsi="宋体" w:cs="宋体"/>
                <w:color w:val="000000"/>
                <w:kern w:val="0"/>
                <w:szCs w:val="21"/>
                <w:highlight w:val="none"/>
              </w:rPr>
              <w:t>2.8</w:t>
            </w:r>
          </w:p>
        </w:tc>
        <w:tc>
          <w:tcPr>
            <w:tcW w:w="6696" w:type="dxa"/>
            <w:tcBorders>
              <w:top w:val="single" w:color="auto" w:sz="4" w:space="0"/>
              <w:left w:val="nil"/>
              <w:bottom w:val="single" w:color="auto" w:sz="4" w:space="0"/>
              <w:right w:val="single" w:color="auto" w:sz="4" w:space="0"/>
            </w:tcBorders>
            <w:vAlign w:val="center"/>
          </w:tcPr>
          <w:p w14:paraId="4BFFF644">
            <w:pPr>
              <w:widowControl/>
              <w:rPr>
                <w:rFonts w:ascii="宋体" w:hAnsi="宋体"/>
                <w:bCs/>
                <w:color w:val="000000"/>
                <w:szCs w:val="21"/>
                <w:highlight w:val="none"/>
              </w:rPr>
            </w:pPr>
            <w:r>
              <w:rPr>
                <w:rFonts w:hint="eastAsia" w:ascii="宋体" w:hAnsi="宋体"/>
                <w:bCs/>
                <w:color w:val="000000"/>
                <w:szCs w:val="21"/>
                <w:highlight w:val="none"/>
              </w:rPr>
              <w:t>技术响应一览表</w:t>
            </w:r>
          </w:p>
        </w:tc>
        <w:tc>
          <w:tcPr>
            <w:tcW w:w="720" w:type="dxa"/>
            <w:tcBorders>
              <w:top w:val="single" w:color="auto" w:sz="4" w:space="0"/>
              <w:left w:val="nil"/>
              <w:bottom w:val="single" w:color="auto" w:sz="4" w:space="0"/>
              <w:right w:val="single" w:color="auto" w:sz="4" w:space="0"/>
            </w:tcBorders>
            <w:vAlign w:val="bottom"/>
          </w:tcPr>
          <w:p w14:paraId="01F970AC">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0605E886">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3D228B26">
            <w:pPr>
              <w:widowControl/>
              <w:jc w:val="center"/>
              <w:rPr>
                <w:rFonts w:ascii="宋体" w:hAnsi="宋体" w:cs="宋体"/>
                <w:b/>
                <w:bCs/>
                <w:color w:val="000000"/>
                <w:kern w:val="0"/>
                <w:szCs w:val="21"/>
                <w:highlight w:val="none"/>
              </w:rPr>
            </w:pPr>
          </w:p>
        </w:tc>
      </w:tr>
      <w:tr w14:paraId="6584ED85">
        <w:tblPrEx>
          <w:tblCellMar>
            <w:top w:w="0" w:type="dxa"/>
            <w:left w:w="108" w:type="dxa"/>
            <w:bottom w:w="0" w:type="dxa"/>
            <w:right w:w="108" w:type="dxa"/>
          </w:tblCellMar>
        </w:tblPrEx>
        <w:trPr>
          <w:trHeight w:val="161" w:hRule="atLeast"/>
        </w:trPr>
        <w:tc>
          <w:tcPr>
            <w:tcW w:w="878" w:type="dxa"/>
            <w:tcBorders>
              <w:top w:val="single" w:color="auto" w:sz="4" w:space="0"/>
              <w:left w:val="single" w:color="auto" w:sz="4" w:space="0"/>
              <w:bottom w:val="single" w:color="auto" w:sz="4" w:space="0"/>
              <w:right w:val="single" w:color="auto" w:sz="4" w:space="0"/>
            </w:tcBorders>
            <w:vAlign w:val="center"/>
          </w:tcPr>
          <w:p w14:paraId="7D87306C">
            <w:pPr>
              <w:widowControl/>
              <w:rPr>
                <w:rFonts w:ascii="宋体" w:hAnsi="宋体"/>
                <w:color w:val="000000"/>
                <w:kern w:val="0"/>
                <w:szCs w:val="21"/>
                <w:highlight w:val="none"/>
              </w:rPr>
            </w:pPr>
            <w:r>
              <w:rPr>
                <w:rFonts w:hint="eastAsia" w:ascii="宋体" w:hAnsi="宋体" w:cs="宋体"/>
                <w:b/>
                <w:bCs/>
                <w:color w:val="000000"/>
                <w:kern w:val="0"/>
                <w:szCs w:val="21"/>
                <w:highlight w:val="none"/>
              </w:rPr>
              <w:t>三</w:t>
            </w:r>
          </w:p>
        </w:tc>
        <w:tc>
          <w:tcPr>
            <w:tcW w:w="6696" w:type="dxa"/>
            <w:tcBorders>
              <w:top w:val="single" w:color="auto" w:sz="4" w:space="0"/>
              <w:left w:val="nil"/>
              <w:bottom w:val="single" w:color="auto" w:sz="4" w:space="0"/>
              <w:right w:val="single" w:color="auto" w:sz="4" w:space="0"/>
            </w:tcBorders>
            <w:vAlign w:val="center"/>
          </w:tcPr>
          <w:p w14:paraId="7B906F56">
            <w:pPr>
              <w:widowControl/>
              <w:rPr>
                <w:rFonts w:ascii="宋体" w:hAnsi="宋体" w:cs="宋体"/>
                <w:color w:val="000000"/>
                <w:kern w:val="0"/>
                <w:szCs w:val="21"/>
                <w:highlight w:val="none"/>
              </w:rPr>
            </w:pPr>
            <w:r>
              <w:rPr>
                <w:rFonts w:hint="eastAsia" w:ascii="宋体" w:hAnsi="宋体" w:cs="宋体"/>
                <w:b/>
                <w:bCs/>
                <w:color w:val="000000"/>
                <w:kern w:val="0"/>
                <w:szCs w:val="21"/>
                <w:highlight w:val="none"/>
              </w:rPr>
              <w:t>商务文件目录表</w:t>
            </w:r>
          </w:p>
        </w:tc>
        <w:tc>
          <w:tcPr>
            <w:tcW w:w="720" w:type="dxa"/>
            <w:tcBorders>
              <w:top w:val="single" w:color="auto" w:sz="4" w:space="0"/>
              <w:left w:val="nil"/>
              <w:bottom w:val="single" w:color="auto" w:sz="4" w:space="0"/>
              <w:right w:val="single" w:color="auto" w:sz="4" w:space="0"/>
            </w:tcBorders>
            <w:vAlign w:val="bottom"/>
          </w:tcPr>
          <w:p w14:paraId="44D587A0">
            <w:pPr>
              <w:widowControl/>
              <w:jc w:val="center"/>
              <w:rPr>
                <w:rFonts w:ascii="宋体" w:hAnsi="宋体" w:cs="宋体"/>
                <w:b/>
                <w:bCs/>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F358D60">
            <w:pPr>
              <w:widowControl/>
              <w:rPr>
                <w:rFonts w:ascii="宋体" w:hAnsi="宋体" w:cs="宋体"/>
                <w:b/>
                <w:bCs/>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center"/>
          </w:tcPr>
          <w:p w14:paraId="616D5950">
            <w:pPr>
              <w:widowControl/>
              <w:jc w:val="center"/>
              <w:rPr>
                <w:rFonts w:ascii="宋体" w:hAnsi="宋体" w:cs="宋体"/>
                <w:b/>
                <w:bCs/>
                <w:color w:val="000000"/>
                <w:kern w:val="0"/>
                <w:szCs w:val="21"/>
                <w:highlight w:val="none"/>
              </w:rPr>
            </w:pPr>
          </w:p>
        </w:tc>
      </w:tr>
      <w:tr w14:paraId="5D3C91DE">
        <w:tblPrEx>
          <w:tblCellMar>
            <w:top w:w="0" w:type="dxa"/>
            <w:left w:w="108" w:type="dxa"/>
            <w:bottom w:w="0" w:type="dxa"/>
            <w:right w:w="108" w:type="dxa"/>
          </w:tblCellMar>
        </w:tblPrEx>
        <w:trPr>
          <w:trHeight w:val="191" w:hRule="atLeast"/>
        </w:trPr>
        <w:tc>
          <w:tcPr>
            <w:tcW w:w="878" w:type="dxa"/>
            <w:tcBorders>
              <w:top w:val="nil"/>
              <w:left w:val="single" w:color="auto" w:sz="4" w:space="0"/>
              <w:bottom w:val="single" w:color="auto" w:sz="4" w:space="0"/>
              <w:right w:val="single" w:color="auto" w:sz="4" w:space="0"/>
            </w:tcBorders>
            <w:vAlign w:val="center"/>
          </w:tcPr>
          <w:p w14:paraId="773EB311">
            <w:pPr>
              <w:widowControl/>
              <w:rPr>
                <w:rFonts w:ascii="宋体" w:hAnsi="宋体"/>
                <w:color w:val="000000"/>
                <w:kern w:val="0"/>
                <w:szCs w:val="21"/>
                <w:highlight w:val="none"/>
              </w:rPr>
            </w:pPr>
            <w:r>
              <w:rPr>
                <w:rFonts w:hint="eastAsia" w:ascii="宋体" w:hAnsi="宋体" w:cs="宋体"/>
                <w:color w:val="000000"/>
                <w:kern w:val="0"/>
                <w:szCs w:val="21"/>
                <w:highlight w:val="none"/>
              </w:rPr>
              <w:t>3.1</w:t>
            </w:r>
          </w:p>
        </w:tc>
        <w:tc>
          <w:tcPr>
            <w:tcW w:w="6696" w:type="dxa"/>
            <w:tcBorders>
              <w:top w:val="nil"/>
              <w:left w:val="nil"/>
              <w:bottom w:val="single" w:color="auto" w:sz="4" w:space="0"/>
              <w:right w:val="single" w:color="auto" w:sz="4" w:space="0"/>
            </w:tcBorders>
            <w:vAlign w:val="center"/>
          </w:tcPr>
          <w:p w14:paraId="61EF1920">
            <w:pPr>
              <w:widowControl/>
              <w:rPr>
                <w:rFonts w:ascii="宋体" w:hAnsi="宋体" w:cs="宋体"/>
                <w:color w:val="000000"/>
                <w:kern w:val="0"/>
                <w:szCs w:val="21"/>
                <w:highlight w:val="none"/>
              </w:rPr>
            </w:pPr>
            <w:r>
              <w:rPr>
                <w:rFonts w:hint="eastAsia" w:ascii="宋体" w:hAnsi="宋体" w:cs="宋体"/>
                <w:color w:val="000000"/>
                <w:kern w:val="0"/>
                <w:szCs w:val="21"/>
                <w:highlight w:val="none"/>
              </w:rPr>
              <w:t>商务评审索引表</w:t>
            </w:r>
            <w:r>
              <w:rPr>
                <w:rFonts w:hint="eastAsia" w:ascii="宋体" w:hAnsi="宋体"/>
                <w:color w:val="000000"/>
                <w:kern w:val="0"/>
                <w:szCs w:val="21"/>
                <w:highlight w:val="none"/>
              </w:rPr>
              <w:t>（格式9）</w:t>
            </w:r>
          </w:p>
        </w:tc>
        <w:tc>
          <w:tcPr>
            <w:tcW w:w="720" w:type="dxa"/>
            <w:tcBorders>
              <w:top w:val="nil"/>
              <w:left w:val="nil"/>
              <w:bottom w:val="single" w:color="auto" w:sz="4" w:space="0"/>
              <w:right w:val="single" w:color="auto" w:sz="4" w:space="0"/>
            </w:tcBorders>
            <w:vAlign w:val="bottom"/>
          </w:tcPr>
          <w:p w14:paraId="7AF3E862">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4608F868">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2435ADBE">
            <w:pPr>
              <w:widowControl/>
              <w:rPr>
                <w:rFonts w:ascii="宋体" w:hAnsi="宋体"/>
                <w:color w:val="000000"/>
                <w:kern w:val="0"/>
                <w:szCs w:val="21"/>
                <w:highlight w:val="none"/>
              </w:rPr>
            </w:pPr>
            <w:r>
              <w:rPr>
                <w:rFonts w:ascii="宋体" w:hAnsi="宋体"/>
                <w:color w:val="000000"/>
                <w:kern w:val="0"/>
                <w:szCs w:val="21"/>
                <w:highlight w:val="none"/>
              </w:rPr>
              <w:t>　</w:t>
            </w:r>
          </w:p>
        </w:tc>
      </w:tr>
      <w:tr w14:paraId="38B2346A">
        <w:tblPrEx>
          <w:tblCellMar>
            <w:top w:w="0" w:type="dxa"/>
            <w:left w:w="108" w:type="dxa"/>
            <w:bottom w:w="0" w:type="dxa"/>
            <w:right w:w="108" w:type="dxa"/>
          </w:tblCellMar>
        </w:tblPrEx>
        <w:trPr>
          <w:trHeight w:val="155" w:hRule="atLeast"/>
        </w:trPr>
        <w:tc>
          <w:tcPr>
            <w:tcW w:w="878" w:type="dxa"/>
            <w:tcBorders>
              <w:top w:val="nil"/>
              <w:left w:val="single" w:color="auto" w:sz="4" w:space="0"/>
              <w:bottom w:val="single" w:color="auto" w:sz="4" w:space="0"/>
              <w:right w:val="single" w:color="auto" w:sz="4" w:space="0"/>
            </w:tcBorders>
            <w:vAlign w:val="center"/>
          </w:tcPr>
          <w:p w14:paraId="6C6FC219">
            <w:pPr>
              <w:widowControl/>
              <w:rPr>
                <w:rFonts w:ascii="宋体" w:hAnsi="宋体"/>
                <w:color w:val="000000"/>
                <w:kern w:val="0"/>
                <w:szCs w:val="21"/>
                <w:highlight w:val="none"/>
              </w:rPr>
            </w:pPr>
            <w:r>
              <w:rPr>
                <w:rFonts w:hint="eastAsia" w:ascii="宋体" w:hAnsi="宋体"/>
                <w:color w:val="000000"/>
                <w:kern w:val="0"/>
                <w:szCs w:val="21"/>
                <w:highlight w:val="none"/>
              </w:rPr>
              <w:t>3.2</w:t>
            </w:r>
          </w:p>
        </w:tc>
        <w:tc>
          <w:tcPr>
            <w:tcW w:w="6696" w:type="dxa"/>
            <w:tcBorders>
              <w:top w:val="nil"/>
              <w:left w:val="nil"/>
              <w:bottom w:val="single" w:color="auto" w:sz="4" w:space="0"/>
              <w:right w:val="single" w:color="auto" w:sz="4" w:space="0"/>
            </w:tcBorders>
            <w:vAlign w:val="center"/>
          </w:tcPr>
          <w:p w14:paraId="49F93FDA">
            <w:pPr>
              <w:widowControl/>
              <w:rPr>
                <w:rFonts w:ascii="宋体" w:hAnsi="宋体" w:cs="宋体"/>
                <w:color w:val="000000"/>
                <w:kern w:val="0"/>
                <w:szCs w:val="21"/>
                <w:highlight w:val="none"/>
              </w:rPr>
            </w:pPr>
            <w:r>
              <w:rPr>
                <w:rFonts w:hint="eastAsia" w:ascii="宋体" w:hAnsi="宋体" w:cs="宋体"/>
                <w:color w:val="000000"/>
                <w:kern w:val="0"/>
                <w:szCs w:val="21"/>
                <w:highlight w:val="none"/>
              </w:rPr>
              <w:t>同意采购文件条款说明（格式10）</w:t>
            </w:r>
          </w:p>
        </w:tc>
        <w:tc>
          <w:tcPr>
            <w:tcW w:w="720" w:type="dxa"/>
            <w:tcBorders>
              <w:top w:val="nil"/>
              <w:left w:val="nil"/>
              <w:bottom w:val="single" w:color="auto" w:sz="4" w:space="0"/>
              <w:right w:val="single" w:color="auto" w:sz="4" w:space="0"/>
            </w:tcBorders>
            <w:vAlign w:val="bottom"/>
          </w:tcPr>
          <w:p w14:paraId="7F553A7E">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258873DB">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5993D0DA">
            <w:pPr>
              <w:widowControl/>
              <w:rPr>
                <w:rFonts w:ascii="宋体" w:hAnsi="宋体"/>
                <w:color w:val="000000"/>
                <w:kern w:val="0"/>
                <w:szCs w:val="21"/>
                <w:highlight w:val="none"/>
              </w:rPr>
            </w:pPr>
            <w:r>
              <w:rPr>
                <w:rFonts w:ascii="宋体" w:hAnsi="宋体"/>
                <w:color w:val="000000"/>
                <w:kern w:val="0"/>
                <w:szCs w:val="21"/>
                <w:highlight w:val="none"/>
              </w:rPr>
              <w:t>　</w:t>
            </w:r>
          </w:p>
        </w:tc>
      </w:tr>
      <w:tr w14:paraId="19D60B71">
        <w:tblPrEx>
          <w:tblCellMar>
            <w:top w:w="0" w:type="dxa"/>
            <w:left w:w="108" w:type="dxa"/>
            <w:bottom w:w="0" w:type="dxa"/>
            <w:right w:w="108" w:type="dxa"/>
          </w:tblCellMar>
        </w:tblPrEx>
        <w:trPr>
          <w:trHeight w:val="174" w:hRule="atLeast"/>
        </w:trPr>
        <w:tc>
          <w:tcPr>
            <w:tcW w:w="878" w:type="dxa"/>
            <w:tcBorders>
              <w:top w:val="nil"/>
              <w:left w:val="single" w:color="auto" w:sz="4" w:space="0"/>
              <w:bottom w:val="single" w:color="auto" w:sz="4" w:space="0"/>
              <w:right w:val="single" w:color="auto" w:sz="4" w:space="0"/>
            </w:tcBorders>
            <w:vAlign w:val="center"/>
          </w:tcPr>
          <w:p w14:paraId="4E572A4D">
            <w:pPr>
              <w:widowControl/>
              <w:rPr>
                <w:rFonts w:ascii="宋体" w:hAnsi="宋体"/>
                <w:color w:val="000000"/>
                <w:kern w:val="0"/>
                <w:szCs w:val="21"/>
                <w:highlight w:val="none"/>
              </w:rPr>
            </w:pPr>
            <w:r>
              <w:rPr>
                <w:rFonts w:hint="eastAsia" w:ascii="宋体" w:hAnsi="宋体"/>
                <w:color w:val="000000"/>
                <w:kern w:val="0"/>
                <w:szCs w:val="21"/>
                <w:highlight w:val="none"/>
              </w:rPr>
              <w:t>3.3</w:t>
            </w:r>
          </w:p>
        </w:tc>
        <w:tc>
          <w:tcPr>
            <w:tcW w:w="6696" w:type="dxa"/>
            <w:tcBorders>
              <w:top w:val="nil"/>
              <w:left w:val="nil"/>
              <w:bottom w:val="single" w:color="auto" w:sz="4" w:space="0"/>
              <w:right w:val="single" w:color="auto" w:sz="4" w:space="0"/>
            </w:tcBorders>
            <w:vAlign w:val="center"/>
          </w:tcPr>
          <w:p w14:paraId="4A9A764F">
            <w:pPr>
              <w:widowControl/>
              <w:rPr>
                <w:rFonts w:ascii="宋体" w:hAnsi="宋体" w:cs="宋体"/>
                <w:color w:val="000000"/>
                <w:kern w:val="0"/>
                <w:szCs w:val="21"/>
                <w:highlight w:val="none"/>
              </w:rPr>
            </w:pPr>
            <w:r>
              <w:rPr>
                <w:rFonts w:hint="eastAsia" w:ascii="宋体" w:hAnsi="宋体" w:cs="宋体"/>
                <w:color w:val="000000"/>
                <w:kern w:val="0"/>
                <w:szCs w:val="21"/>
                <w:highlight w:val="none"/>
              </w:rPr>
              <w:t>投标人简介（格式自定）</w:t>
            </w:r>
          </w:p>
        </w:tc>
        <w:tc>
          <w:tcPr>
            <w:tcW w:w="720" w:type="dxa"/>
            <w:tcBorders>
              <w:top w:val="nil"/>
              <w:left w:val="nil"/>
              <w:bottom w:val="single" w:color="auto" w:sz="4" w:space="0"/>
              <w:right w:val="single" w:color="auto" w:sz="4" w:space="0"/>
            </w:tcBorders>
            <w:vAlign w:val="bottom"/>
          </w:tcPr>
          <w:p w14:paraId="20860982">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4E2A1F93">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131DD3C8">
            <w:pPr>
              <w:widowControl/>
              <w:rPr>
                <w:rFonts w:ascii="宋体" w:hAnsi="宋体"/>
                <w:color w:val="000000"/>
                <w:kern w:val="0"/>
                <w:szCs w:val="21"/>
                <w:highlight w:val="none"/>
              </w:rPr>
            </w:pPr>
            <w:r>
              <w:rPr>
                <w:rFonts w:ascii="宋体" w:hAnsi="宋体"/>
                <w:color w:val="000000"/>
                <w:kern w:val="0"/>
                <w:szCs w:val="21"/>
                <w:highlight w:val="none"/>
              </w:rPr>
              <w:t>　</w:t>
            </w:r>
          </w:p>
        </w:tc>
      </w:tr>
      <w:tr w14:paraId="0A3B7633">
        <w:tblPrEx>
          <w:tblCellMar>
            <w:top w:w="0" w:type="dxa"/>
            <w:left w:w="108" w:type="dxa"/>
            <w:bottom w:w="0" w:type="dxa"/>
            <w:right w:w="108" w:type="dxa"/>
          </w:tblCellMar>
        </w:tblPrEx>
        <w:trPr>
          <w:trHeight w:val="287" w:hRule="atLeast"/>
        </w:trPr>
        <w:tc>
          <w:tcPr>
            <w:tcW w:w="878" w:type="dxa"/>
            <w:tcBorders>
              <w:top w:val="nil"/>
              <w:left w:val="single" w:color="auto" w:sz="4" w:space="0"/>
              <w:bottom w:val="single" w:color="auto" w:sz="4" w:space="0"/>
              <w:right w:val="single" w:color="auto" w:sz="4" w:space="0"/>
            </w:tcBorders>
            <w:vAlign w:val="center"/>
          </w:tcPr>
          <w:p w14:paraId="2E4B7F54">
            <w:pPr>
              <w:widowControl/>
              <w:rPr>
                <w:rFonts w:ascii="宋体" w:hAnsi="宋体"/>
                <w:color w:val="000000"/>
                <w:kern w:val="0"/>
                <w:szCs w:val="21"/>
                <w:highlight w:val="none"/>
              </w:rPr>
            </w:pPr>
            <w:r>
              <w:rPr>
                <w:rFonts w:hint="eastAsia" w:ascii="宋体" w:hAnsi="宋体"/>
                <w:color w:val="000000"/>
                <w:kern w:val="0"/>
                <w:szCs w:val="21"/>
                <w:highlight w:val="none"/>
              </w:rPr>
              <w:t>3.4</w:t>
            </w:r>
          </w:p>
        </w:tc>
        <w:tc>
          <w:tcPr>
            <w:tcW w:w="6696" w:type="dxa"/>
            <w:tcBorders>
              <w:top w:val="nil"/>
              <w:left w:val="nil"/>
              <w:bottom w:val="single" w:color="auto" w:sz="4" w:space="0"/>
              <w:right w:val="single" w:color="auto" w:sz="4" w:space="0"/>
            </w:tcBorders>
            <w:vAlign w:val="center"/>
          </w:tcPr>
          <w:p w14:paraId="4D1AD354">
            <w:pPr>
              <w:widowControl/>
              <w:rPr>
                <w:rFonts w:ascii="宋体" w:hAnsi="宋体" w:cs="宋体"/>
                <w:color w:val="000000"/>
                <w:kern w:val="0"/>
                <w:szCs w:val="21"/>
                <w:highlight w:val="none"/>
              </w:rPr>
            </w:pPr>
            <w:r>
              <w:rPr>
                <w:rFonts w:hint="eastAsia" w:ascii="宋体" w:hAnsi="宋体" w:cs="宋体"/>
                <w:color w:val="000000"/>
                <w:kern w:val="0"/>
                <w:szCs w:val="21"/>
                <w:highlight w:val="none"/>
              </w:rPr>
              <w:t>同类项目业绩情况一览表（格式11）</w:t>
            </w:r>
          </w:p>
        </w:tc>
        <w:tc>
          <w:tcPr>
            <w:tcW w:w="720" w:type="dxa"/>
            <w:tcBorders>
              <w:top w:val="nil"/>
              <w:left w:val="nil"/>
              <w:bottom w:val="single" w:color="auto" w:sz="4" w:space="0"/>
              <w:right w:val="single" w:color="auto" w:sz="4" w:space="0"/>
            </w:tcBorders>
            <w:vAlign w:val="bottom"/>
          </w:tcPr>
          <w:p w14:paraId="380FA4A8">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5F192EA8">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01156617">
            <w:pPr>
              <w:widowControl/>
              <w:rPr>
                <w:rFonts w:ascii="宋体" w:hAnsi="宋体"/>
                <w:color w:val="000000"/>
                <w:kern w:val="0"/>
                <w:szCs w:val="21"/>
                <w:highlight w:val="none"/>
              </w:rPr>
            </w:pPr>
            <w:r>
              <w:rPr>
                <w:rFonts w:ascii="宋体" w:hAnsi="宋体"/>
                <w:color w:val="000000"/>
                <w:kern w:val="0"/>
                <w:szCs w:val="21"/>
                <w:highlight w:val="none"/>
              </w:rPr>
              <w:t>　</w:t>
            </w:r>
          </w:p>
        </w:tc>
      </w:tr>
      <w:tr w14:paraId="1BC581E3">
        <w:tblPrEx>
          <w:tblCellMar>
            <w:top w:w="0" w:type="dxa"/>
            <w:left w:w="108" w:type="dxa"/>
            <w:bottom w:w="0" w:type="dxa"/>
            <w:right w:w="108" w:type="dxa"/>
          </w:tblCellMar>
        </w:tblPrEx>
        <w:trPr>
          <w:trHeight w:val="224" w:hRule="atLeast"/>
        </w:trPr>
        <w:tc>
          <w:tcPr>
            <w:tcW w:w="878" w:type="dxa"/>
            <w:tcBorders>
              <w:top w:val="nil"/>
              <w:left w:val="single" w:color="auto" w:sz="4" w:space="0"/>
              <w:bottom w:val="single" w:color="auto" w:sz="4" w:space="0"/>
              <w:right w:val="single" w:color="auto" w:sz="4" w:space="0"/>
            </w:tcBorders>
            <w:vAlign w:val="center"/>
          </w:tcPr>
          <w:p w14:paraId="4D917913">
            <w:pPr>
              <w:widowControl/>
              <w:rPr>
                <w:rFonts w:ascii="宋体" w:hAnsi="宋体"/>
                <w:color w:val="000000"/>
                <w:kern w:val="0"/>
                <w:szCs w:val="21"/>
                <w:highlight w:val="none"/>
              </w:rPr>
            </w:pPr>
            <w:r>
              <w:rPr>
                <w:rFonts w:hint="eastAsia" w:ascii="宋体" w:hAnsi="宋体"/>
                <w:color w:val="000000"/>
                <w:kern w:val="0"/>
                <w:szCs w:val="21"/>
                <w:highlight w:val="none"/>
              </w:rPr>
              <w:t>3.5</w:t>
            </w:r>
          </w:p>
        </w:tc>
        <w:tc>
          <w:tcPr>
            <w:tcW w:w="6696" w:type="dxa"/>
            <w:tcBorders>
              <w:top w:val="nil"/>
              <w:left w:val="nil"/>
              <w:bottom w:val="single" w:color="auto" w:sz="4" w:space="0"/>
              <w:right w:val="single" w:color="auto" w:sz="4" w:space="0"/>
            </w:tcBorders>
            <w:vAlign w:val="center"/>
          </w:tcPr>
          <w:p w14:paraId="02C4BB42">
            <w:pPr>
              <w:widowControl/>
              <w:rPr>
                <w:rFonts w:ascii="宋体" w:hAnsi="宋体" w:cs="宋体"/>
                <w:color w:val="000000"/>
                <w:kern w:val="0"/>
                <w:szCs w:val="21"/>
                <w:highlight w:val="none"/>
              </w:rPr>
            </w:pPr>
            <w:r>
              <w:rPr>
                <w:rFonts w:hint="eastAsia" w:ascii="宋体" w:hAnsi="宋体" w:cs="宋体"/>
                <w:color w:val="000000"/>
                <w:kern w:val="0"/>
                <w:szCs w:val="21"/>
                <w:highlight w:val="none"/>
              </w:rPr>
              <w:t>拟派本项目负责人及主要人员情况表（格式12）</w:t>
            </w:r>
          </w:p>
        </w:tc>
        <w:tc>
          <w:tcPr>
            <w:tcW w:w="720" w:type="dxa"/>
            <w:tcBorders>
              <w:top w:val="nil"/>
              <w:left w:val="nil"/>
              <w:bottom w:val="single" w:color="auto" w:sz="4" w:space="0"/>
              <w:right w:val="single" w:color="auto" w:sz="4" w:space="0"/>
            </w:tcBorders>
            <w:vAlign w:val="bottom"/>
          </w:tcPr>
          <w:p w14:paraId="142F0EB4">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658ADDDE">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463676CE">
            <w:pPr>
              <w:widowControl/>
              <w:rPr>
                <w:rFonts w:ascii="宋体" w:hAnsi="宋体"/>
                <w:color w:val="000000"/>
                <w:kern w:val="0"/>
                <w:szCs w:val="21"/>
                <w:highlight w:val="none"/>
              </w:rPr>
            </w:pPr>
            <w:r>
              <w:rPr>
                <w:rFonts w:ascii="宋体" w:hAnsi="宋体"/>
                <w:color w:val="000000"/>
                <w:kern w:val="0"/>
                <w:szCs w:val="21"/>
                <w:highlight w:val="none"/>
              </w:rPr>
              <w:t>　</w:t>
            </w:r>
          </w:p>
        </w:tc>
      </w:tr>
      <w:tr w14:paraId="5E8037FF">
        <w:tblPrEx>
          <w:tblCellMar>
            <w:top w:w="0" w:type="dxa"/>
            <w:left w:w="108" w:type="dxa"/>
            <w:bottom w:w="0" w:type="dxa"/>
            <w:right w:w="108" w:type="dxa"/>
          </w:tblCellMar>
        </w:tblPrEx>
        <w:trPr>
          <w:trHeight w:val="113" w:hRule="atLeast"/>
        </w:trPr>
        <w:tc>
          <w:tcPr>
            <w:tcW w:w="878" w:type="dxa"/>
            <w:tcBorders>
              <w:top w:val="nil"/>
              <w:left w:val="single" w:color="auto" w:sz="4" w:space="0"/>
              <w:bottom w:val="single" w:color="auto" w:sz="4" w:space="0"/>
              <w:right w:val="single" w:color="auto" w:sz="4" w:space="0"/>
            </w:tcBorders>
            <w:vAlign w:val="center"/>
          </w:tcPr>
          <w:p w14:paraId="34A84046">
            <w:pPr>
              <w:widowControl/>
              <w:rPr>
                <w:rFonts w:ascii="宋体" w:hAnsi="宋体"/>
                <w:color w:val="000000"/>
                <w:kern w:val="0"/>
                <w:szCs w:val="21"/>
                <w:highlight w:val="none"/>
              </w:rPr>
            </w:pPr>
            <w:r>
              <w:rPr>
                <w:rFonts w:hint="eastAsia" w:ascii="宋体" w:hAnsi="宋体"/>
                <w:color w:val="000000"/>
                <w:kern w:val="0"/>
                <w:szCs w:val="21"/>
                <w:highlight w:val="none"/>
              </w:rPr>
              <w:t>3.6</w:t>
            </w:r>
          </w:p>
        </w:tc>
        <w:tc>
          <w:tcPr>
            <w:tcW w:w="6696" w:type="dxa"/>
            <w:tcBorders>
              <w:top w:val="nil"/>
              <w:left w:val="nil"/>
              <w:bottom w:val="single" w:color="auto" w:sz="4" w:space="0"/>
              <w:right w:val="single" w:color="auto" w:sz="4" w:space="0"/>
            </w:tcBorders>
            <w:vAlign w:val="center"/>
          </w:tcPr>
          <w:p w14:paraId="36FD9AC3">
            <w:pPr>
              <w:widowControl/>
              <w:rPr>
                <w:rFonts w:ascii="宋体" w:hAnsi="宋体" w:cs="宋体"/>
                <w:color w:val="000000"/>
                <w:kern w:val="0"/>
                <w:szCs w:val="21"/>
                <w:highlight w:val="none"/>
              </w:rPr>
            </w:pPr>
            <w:r>
              <w:rPr>
                <w:rFonts w:hint="eastAsia" w:ascii="宋体" w:hAnsi="宋体" w:cs="宋体"/>
                <w:color w:val="000000"/>
                <w:kern w:val="0"/>
                <w:szCs w:val="21"/>
                <w:highlight w:val="none"/>
              </w:rPr>
              <w:t>合同条款响应表(格式13)</w:t>
            </w:r>
          </w:p>
        </w:tc>
        <w:tc>
          <w:tcPr>
            <w:tcW w:w="720" w:type="dxa"/>
            <w:tcBorders>
              <w:top w:val="nil"/>
              <w:left w:val="nil"/>
              <w:bottom w:val="single" w:color="auto" w:sz="4" w:space="0"/>
              <w:right w:val="single" w:color="auto" w:sz="4" w:space="0"/>
            </w:tcBorders>
            <w:vAlign w:val="bottom"/>
          </w:tcPr>
          <w:p w14:paraId="48DE4680">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0E9ECF03">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315C6932">
            <w:pPr>
              <w:widowControl/>
              <w:rPr>
                <w:rFonts w:ascii="宋体" w:hAnsi="宋体"/>
                <w:color w:val="000000"/>
                <w:kern w:val="0"/>
                <w:szCs w:val="21"/>
                <w:highlight w:val="none"/>
              </w:rPr>
            </w:pPr>
            <w:r>
              <w:rPr>
                <w:rFonts w:ascii="宋体" w:hAnsi="宋体"/>
                <w:color w:val="000000"/>
                <w:kern w:val="0"/>
                <w:szCs w:val="21"/>
                <w:highlight w:val="none"/>
              </w:rPr>
              <w:t>　</w:t>
            </w:r>
          </w:p>
        </w:tc>
      </w:tr>
      <w:tr w14:paraId="6A16C12E">
        <w:tblPrEx>
          <w:tblCellMar>
            <w:top w:w="0" w:type="dxa"/>
            <w:left w:w="108" w:type="dxa"/>
            <w:bottom w:w="0" w:type="dxa"/>
            <w:right w:w="108" w:type="dxa"/>
          </w:tblCellMar>
        </w:tblPrEx>
        <w:trPr>
          <w:trHeight w:val="146" w:hRule="atLeast"/>
        </w:trPr>
        <w:tc>
          <w:tcPr>
            <w:tcW w:w="878" w:type="dxa"/>
            <w:tcBorders>
              <w:top w:val="single" w:color="auto" w:sz="4" w:space="0"/>
              <w:left w:val="single" w:color="auto" w:sz="4" w:space="0"/>
              <w:bottom w:val="single" w:color="auto" w:sz="4" w:space="0"/>
              <w:right w:val="single" w:color="auto" w:sz="4" w:space="0"/>
            </w:tcBorders>
            <w:vAlign w:val="center"/>
          </w:tcPr>
          <w:p w14:paraId="72F9495E">
            <w:pPr>
              <w:rPr>
                <w:rFonts w:ascii="宋体" w:hAnsi="宋体"/>
                <w:color w:val="000000"/>
                <w:kern w:val="0"/>
                <w:szCs w:val="21"/>
                <w:highlight w:val="none"/>
              </w:rPr>
            </w:pPr>
            <w:r>
              <w:rPr>
                <w:rFonts w:hint="eastAsia" w:ascii="宋体" w:hAnsi="宋体"/>
                <w:color w:val="000000"/>
                <w:kern w:val="0"/>
                <w:szCs w:val="21"/>
                <w:highlight w:val="none"/>
              </w:rPr>
              <w:t>3.7</w:t>
            </w:r>
          </w:p>
        </w:tc>
        <w:tc>
          <w:tcPr>
            <w:tcW w:w="6696" w:type="dxa"/>
            <w:tcBorders>
              <w:top w:val="nil"/>
              <w:left w:val="nil"/>
              <w:bottom w:val="single" w:color="auto" w:sz="4" w:space="0"/>
              <w:right w:val="single" w:color="auto" w:sz="4" w:space="0"/>
            </w:tcBorders>
            <w:vAlign w:val="center"/>
          </w:tcPr>
          <w:p w14:paraId="1B2236CC">
            <w:pPr>
              <w:widowControl/>
              <w:rPr>
                <w:rFonts w:ascii="宋体" w:hAnsi="宋体" w:cs="宋体"/>
                <w:color w:val="000000"/>
                <w:kern w:val="0"/>
                <w:szCs w:val="21"/>
                <w:highlight w:val="none"/>
              </w:rPr>
            </w:pPr>
            <w:r>
              <w:rPr>
                <w:rFonts w:hint="eastAsia" w:ascii="宋体" w:hAnsi="宋体" w:cs="宋体"/>
                <w:color w:val="000000"/>
                <w:kern w:val="0"/>
                <w:szCs w:val="21"/>
                <w:highlight w:val="none"/>
              </w:rPr>
              <w:t>投标保证金汇款声明函（格式14）</w:t>
            </w:r>
          </w:p>
        </w:tc>
        <w:tc>
          <w:tcPr>
            <w:tcW w:w="720" w:type="dxa"/>
            <w:tcBorders>
              <w:top w:val="nil"/>
              <w:left w:val="nil"/>
              <w:bottom w:val="single" w:color="auto" w:sz="4" w:space="0"/>
              <w:right w:val="single" w:color="auto" w:sz="4" w:space="0"/>
            </w:tcBorders>
            <w:vAlign w:val="bottom"/>
          </w:tcPr>
          <w:p w14:paraId="5E27AB69">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7683622F">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16144BD4">
            <w:pPr>
              <w:widowControl/>
              <w:rPr>
                <w:rFonts w:ascii="宋体" w:hAnsi="宋体"/>
                <w:color w:val="000000"/>
                <w:kern w:val="0"/>
                <w:szCs w:val="21"/>
                <w:highlight w:val="none"/>
              </w:rPr>
            </w:pPr>
            <w:r>
              <w:rPr>
                <w:rFonts w:ascii="宋体" w:hAnsi="宋体"/>
                <w:color w:val="000000"/>
                <w:kern w:val="0"/>
                <w:szCs w:val="21"/>
                <w:highlight w:val="none"/>
              </w:rPr>
              <w:t>　</w:t>
            </w:r>
          </w:p>
        </w:tc>
      </w:tr>
      <w:tr w14:paraId="3EBA15A9">
        <w:tblPrEx>
          <w:tblCellMar>
            <w:top w:w="0" w:type="dxa"/>
            <w:left w:w="108" w:type="dxa"/>
            <w:bottom w:w="0" w:type="dxa"/>
            <w:right w:w="108" w:type="dxa"/>
          </w:tblCellMar>
        </w:tblPrEx>
        <w:trPr>
          <w:trHeight w:val="163" w:hRule="atLeast"/>
        </w:trPr>
        <w:tc>
          <w:tcPr>
            <w:tcW w:w="878" w:type="dxa"/>
            <w:tcBorders>
              <w:top w:val="single" w:color="auto" w:sz="4" w:space="0"/>
              <w:left w:val="single" w:color="auto" w:sz="4" w:space="0"/>
              <w:bottom w:val="single" w:color="auto" w:sz="4" w:space="0"/>
              <w:right w:val="single" w:color="auto" w:sz="4" w:space="0"/>
            </w:tcBorders>
            <w:vAlign w:val="center"/>
          </w:tcPr>
          <w:p w14:paraId="3B73E882">
            <w:pPr>
              <w:rPr>
                <w:rFonts w:ascii="宋体" w:hAnsi="宋体"/>
                <w:color w:val="000000"/>
                <w:kern w:val="0"/>
                <w:szCs w:val="21"/>
                <w:highlight w:val="none"/>
              </w:rPr>
            </w:pPr>
            <w:r>
              <w:rPr>
                <w:rFonts w:hint="eastAsia" w:ascii="宋体" w:hAnsi="宋体"/>
                <w:color w:val="000000"/>
                <w:kern w:val="0"/>
                <w:szCs w:val="21"/>
                <w:highlight w:val="none"/>
              </w:rPr>
              <w:t>3.8</w:t>
            </w:r>
          </w:p>
        </w:tc>
        <w:tc>
          <w:tcPr>
            <w:tcW w:w="6696" w:type="dxa"/>
            <w:tcBorders>
              <w:top w:val="nil"/>
              <w:left w:val="nil"/>
              <w:bottom w:val="single" w:color="auto" w:sz="4" w:space="0"/>
              <w:right w:val="single" w:color="auto" w:sz="4" w:space="0"/>
            </w:tcBorders>
            <w:vAlign w:val="center"/>
          </w:tcPr>
          <w:p w14:paraId="55A4F2F6">
            <w:pPr>
              <w:widowControl/>
              <w:rPr>
                <w:rFonts w:ascii="宋体" w:hAnsi="宋体" w:cs="宋体"/>
                <w:color w:val="000000"/>
                <w:kern w:val="0"/>
                <w:szCs w:val="21"/>
                <w:highlight w:val="none"/>
              </w:rPr>
            </w:pPr>
            <w:r>
              <w:rPr>
                <w:rFonts w:hint="eastAsia" w:ascii="宋体" w:hAnsi="宋体" w:cs="宋体"/>
                <w:color w:val="000000"/>
                <w:kern w:val="0"/>
                <w:szCs w:val="21"/>
                <w:highlight w:val="none"/>
              </w:rPr>
              <w:t>缴交招标服务费承诺书</w:t>
            </w:r>
            <w:r>
              <w:rPr>
                <w:rFonts w:ascii="宋体" w:hAnsi="宋体"/>
                <w:color w:val="000000"/>
                <w:kern w:val="0"/>
                <w:szCs w:val="21"/>
                <w:highlight w:val="none"/>
              </w:rPr>
              <w:t>(</w:t>
            </w:r>
            <w:r>
              <w:rPr>
                <w:rFonts w:hint="eastAsia" w:ascii="宋体" w:hAnsi="宋体" w:cs="宋体"/>
                <w:color w:val="000000"/>
                <w:kern w:val="0"/>
                <w:szCs w:val="21"/>
                <w:highlight w:val="none"/>
              </w:rPr>
              <w:t>格式</w:t>
            </w:r>
            <w:r>
              <w:rPr>
                <w:rFonts w:hint="eastAsia" w:ascii="宋体" w:hAnsi="宋体"/>
                <w:color w:val="000000"/>
                <w:kern w:val="0"/>
                <w:szCs w:val="21"/>
                <w:highlight w:val="none"/>
              </w:rPr>
              <w:t>15</w:t>
            </w:r>
            <w:r>
              <w:rPr>
                <w:rFonts w:ascii="宋体" w:hAnsi="宋体"/>
                <w:color w:val="000000"/>
                <w:kern w:val="0"/>
                <w:szCs w:val="21"/>
                <w:highlight w:val="none"/>
              </w:rPr>
              <w:t>)</w:t>
            </w:r>
          </w:p>
        </w:tc>
        <w:tc>
          <w:tcPr>
            <w:tcW w:w="720" w:type="dxa"/>
            <w:tcBorders>
              <w:top w:val="nil"/>
              <w:left w:val="nil"/>
              <w:bottom w:val="single" w:color="auto" w:sz="4" w:space="0"/>
              <w:right w:val="single" w:color="auto" w:sz="4" w:space="0"/>
            </w:tcBorders>
            <w:vAlign w:val="bottom"/>
          </w:tcPr>
          <w:p w14:paraId="6326431C">
            <w:pPr>
              <w:widowControl/>
              <w:rPr>
                <w:rFonts w:ascii="宋体" w:hAnsi="宋体"/>
                <w:color w:val="000000"/>
                <w:kern w:val="0"/>
                <w:szCs w:val="21"/>
                <w:highlight w:val="none"/>
              </w:rPr>
            </w:pPr>
            <w:r>
              <w:rPr>
                <w:rFonts w:ascii="宋体" w:hAnsi="宋体"/>
                <w:color w:val="000000"/>
                <w:kern w:val="0"/>
                <w:szCs w:val="21"/>
                <w:highlight w:val="none"/>
              </w:rPr>
              <w:t>　</w:t>
            </w:r>
          </w:p>
        </w:tc>
        <w:tc>
          <w:tcPr>
            <w:tcW w:w="720" w:type="dxa"/>
            <w:tcBorders>
              <w:top w:val="nil"/>
              <w:left w:val="nil"/>
              <w:bottom w:val="single" w:color="auto" w:sz="4" w:space="0"/>
              <w:right w:val="single" w:color="auto" w:sz="4" w:space="0"/>
            </w:tcBorders>
            <w:vAlign w:val="bottom"/>
          </w:tcPr>
          <w:p w14:paraId="0B9B34CD">
            <w:pPr>
              <w:widowControl/>
              <w:rPr>
                <w:rFonts w:ascii="宋体" w:hAnsi="宋体"/>
                <w:color w:val="000000"/>
                <w:kern w:val="0"/>
                <w:szCs w:val="21"/>
                <w:highlight w:val="none"/>
              </w:rPr>
            </w:pPr>
            <w:r>
              <w:rPr>
                <w:rFonts w:ascii="宋体" w:hAnsi="宋体"/>
                <w:color w:val="000000"/>
                <w:kern w:val="0"/>
                <w:szCs w:val="21"/>
                <w:highlight w:val="none"/>
              </w:rPr>
              <w:t>　</w:t>
            </w:r>
          </w:p>
        </w:tc>
        <w:tc>
          <w:tcPr>
            <w:tcW w:w="360" w:type="dxa"/>
            <w:tcBorders>
              <w:top w:val="nil"/>
              <w:left w:val="nil"/>
              <w:bottom w:val="single" w:color="auto" w:sz="4" w:space="0"/>
              <w:right w:val="single" w:color="auto" w:sz="4" w:space="0"/>
            </w:tcBorders>
            <w:vAlign w:val="bottom"/>
          </w:tcPr>
          <w:p w14:paraId="1B1F2B90">
            <w:pPr>
              <w:widowControl/>
              <w:rPr>
                <w:rFonts w:ascii="宋体" w:hAnsi="宋体"/>
                <w:color w:val="000000"/>
                <w:kern w:val="0"/>
                <w:szCs w:val="21"/>
                <w:highlight w:val="none"/>
              </w:rPr>
            </w:pPr>
            <w:r>
              <w:rPr>
                <w:rFonts w:ascii="宋体" w:hAnsi="宋体"/>
                <w:color w:val="000000"/>
                <w:kern w:val="0"/>
                <w:szCs w:val="21"/>
                <w:highlight w:val="none"/>
              </w:rPr>
              <w:t>　</w:t>
            </w:r>
          </w:p>
        </w:tc>
      </w:tr>
      <w:tr w14:paraId="710CB7CC">
        <w:tblPrEx>
          <w:tblCellMar>
            <w:top w:w="0" w:type="dxa"/>
            <w:left w:w="108" w:type="dxa"/>
            <w:bottom w:w="0" w:type="dxa"/>
            <w:right w:w="108" w:type="dxa"/>
          </w:tblCellMar>
        </w:tblPrEx>
        <w:trPr>
          <w:trHeight w:val="85" w:hRule="atLeast"/>
        </w:trPr>
        <w:tc>
          <w:tcPr>
            <w:tcW w:w="878" w:type="dxa"/>
            <w:tcBorders>
              <w:top w:val="single" w:color="auto" w:sz="4" w:space="0"/>
              <w:left w:val="single" w:color="auto" w:sz="4" w:space="0"/>
              <w:bottom w:val="single" w:color="auto" w:sz="4" w:space="0"/>
              <w:right w:val="single" w:color="auto" w:sz="4" w:space="0"/>
            </w:tcBorders>
            <w:vAlign w:val="center"/>
          </w:tcPr>
          <w:p w14:paraId="620E9FD4">
            <w:pPr>
              <w:rPr>
                <w:rFonts w:ascii="宋体" w:hAnsi="宋体"/>
                <w:color w:val="000000"/>
                <w:kern w:val="0"/>
                <w:szCs w:val="21"/>
                <w:highlight w:val="none"/>
              </w:rPr>
            </w:pPr>
            <w:r>
              <w:rPr>
                <w:rFonts w:hint="eastAsia" w:ascii="宋体" w:hAnsi="宋体"/>
                <w:color w:val="000000"/>
                <w:kern w:val="0"/>
                <w:szCs w:val="21"/>
                <w:highlight w:val="none"/>
              </w:rPr>
              <w:t>3.9</w:t>
            </w:r>
          </w:p>
        </w:tc>
        <w:tc>
          <w:tcPr>
            <w:tcW w:w="6696" w:type="dxa"/>
            <w:tcBorders>
              <w:top w:val="single" w:color="auto" w:sz="4" w:space="0"/>
              <w:left w:val="nil"/>
              <w:bottom w:val="single" w:color="auto" w:sz="4" w:space="0"/>
              <w:right w:val="single" w:color="auto" w:sz="4" w:space="0"/>
            </w:tcBorders>
            <w:vAlign w:val="center"/>
          </w:tcPr>
          <w:p w14:paraId="32320F8C">
            <w:pPr>
              <w:widowControl/>
              <w:rPr>
                <w:rFonts w:ascii="宋体" w:hAnsi="宋体" w:cs="宋体"/>
                <w:color w:val="000000"/>
                <w:kern w:val="0"/>
                <w:szCs w:val="21"/>
                <w:highlight w:val="none"/>
              </w:rPr>
            </w:pPr>
            <w:r>
              <w:rPr>
                <w:rFonts w:hint="eastAsia" w:ascii="宋体" w:hAnsi="宋体" w:cs="宋体"/>
                <w:color w:val="000000"/>
                <w:kern w:val="0"/>
                <w:szCs w:val="21"/>
                <w:highlight w:val="none"/>
              </w:rPr>
              <w:t>上一年度由会计师事务所出具的审计报告复印件或年度财务报表</w:t>
            </w:r>
          </w:p>
        </w:tc>
        <w:tc>
          <w:tcPr>
            <w:tcW w:w="720" w:type="dxa"/>
            <w:tcBorders>
              <w:top w:val="single" w:color="auto" w:sz="4" w:space="0"/>
              <w:left w:val="nil"/>
              <w:bottom w:val="single" w:color="auto" w:sz="4" w:space="0"/>
              <w:right w:val="single" w:color="auto" w:sz="4" w:space="0"/>
            </w:tcBorders>
            <w:vAlign w:val="bottom"/>
          </w:tcPr>
          <w:p w14:paraId="5315A0BD">
            <w:pPr>
              <w:widowControl/>
              <w:rPr>
                <w:rFonts w:ascii="宋体" w:hAnsi="宋体"/>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343728BE">
            <w:pPr>
              <w:widowControl/>
              <w:rPr>
                <w:rFonts w:ascii="宋体" w:hAnsi="宋体"/>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bottom"/>
          </w:tcPr>
          <w:p w14:paraId="45E63C42">
            <w:pPr>
              <w:widowControl/>
              <w:rPr>
                <w:rFonts w:ascii="宋体" w:hAnsi="宋体"/>
                <w:color w:val="000000"/>
                <w:kern w:val="0"/>
                <w:szCs w:val="21"/>
                <w:highlight w:val="none"/>
              </w:rPr>
            </w:pPr>
          </w:p>
        </w:tc>
      </w:tr>
      <w:tr w14:paraId="70166798">
        <w:tblPrEx>
          <w:tblCellMar>
            <w:top w:w="0" w:type="dxa"/>
            <w:left w:w="108" w:type="dxa"/>
            <w:bottom w:w="0" w:type="dxa"/>
            <w:right w:w="108" w:type="dxa"/>
          </w:tblCellMar>
        </w:tblPrEx>
        <w:trPr>
          <w:trHeight w:val="299" w:hRule="atLeast"/>
        </w:trPr>
        <w:tc>
          <w:tcPr>
            <w:tcW w:w="878" w:type="dxa"/>
            <w:tcBorders>
              <w:top w:val="single" w:color="auto" w:sz="4" w:space="0"/>
              <w:left w:val="single" w:color="auto" w:sz="4" w:space="0"/>
              <w:bottom w:val="single" w:color="auto" w:sz="4" w:space="0"/>
              <w:right w:val="single" w:color="auto" w:sz="4" w:space="0"/>
            </w:tcBorders>
            <w:vAlign w:val="center"/>
          </w:tcPr>
          <w:p w14:paraId="601706DF">
            <w:pPr>
              <w:rPr>
                <w:rFonts w:ascii="宋体" w:hAnsi="宋体"/>
                <w:color w:val="000000"/>
                <w:kern w:val="0"/>
                <w:szCs w:val="21"/>
                <w:highlight w:val="none"/>
              </w:rPr>
            </w:pPr>
            <w:r>
              <w:rPr>
                <w:rFonts w:hint="eastAsia" w:ascii="宋体" w:hAnsi="宋体"/>
                <w:color w:val="000000"/>
                <w:kern w:val="0"/>
                <w:szCs w:val="21"/>
                <w:highlight w:val="none"/>
              </w:rPr>
              <w:t>3.10</w:t>
            </w:r>
          </w:p>
        </w:tc>
        <w:tc>
          <w:tcPr>
            <w:tcW w:w="6696" w:type="dxa"/>
            <w:tcBorders>
              <w:top w:val="single" w:color="auto" w:sz="4" w:space="0"/>
              <w:left w:val="nil"/>
              <w:bottom w:val="single" w:color="auto" w:sz="4" w:space="0"/>
              <w:right w:val="single" w:color="auto" w:sz="4" w:space="0"/>
            </w:tcBorders>
            <w:vAlign w:val="center"/>
          </w:tcPr>
          <w:p w14:paraId="156A4DAA">
            <w:pPr>
              <w:widowControl/>
              <w:rPr>
                <w:rFonts w:ascii="宋体" w:hAnsi="宋体"/>
                <w:color w:val="000000"/>
                <w:szCs w:val="21"/>
                <w:highlight w:val="none"/>
              </w:rPr>
            </w:pPr>
            <w:r>
              <w:rPr>
                <w:rFonts w:hint="eastAsia" w:ascii="宋体" w:hAnsi="宋体" w:cs="宋体"/>
                <w:color w:val="000000"/>
                <w:kern w:val="0"/>
                <w:szCs w:val="21"/>
                <w:highlight w:val="none"/>
              </w:rPr>
              <w:t>投标人认为需要提交的其他资料</w:t>
            </w:r>
          </w:p>
        </w:tc>
        <w:tc>
          <w:tcPr>
            <w:tcW w:w="720" w:type="dxa"/>
            <w:tcBorders>
              <w:top w:val="single" w:color="auto" w:sz="4" w:space="0"/>
              <w:left w:val="nil"/>
              <w:bottom w:val="single" w:color="auto" w:sz="4" w:space="0"/>
              <w:right w:val="single" w:color="auto" w:sz="4" w:space="0"/>
            </w:tcBorders>
            <w:vAlign w:val="bottom"/>
          </w:tcPr>
          <w:p w14:paraId="104BB816">
            <w:pPr>
              <w:widowControl/>
              <w:rPr>
                <w:rFonts w:ascii="宋体" w:hAnsi="宋体"/>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1F67054A">
            <w:pPr>
              <w:widowControl/>
              <w:rPr>
                <w:rFonts w:ascii="宋体" w:hAnsi="宋体"/>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bottom"/>
          </w:tcPr>
          <w:p w14:paraId="26DAB0AE">
            <w:pPr>
              <w:widowControl/>
              <w:rPr>
                <w:rFonts w:ascii="宋体" w:hAnsi="宋体"/>
                <w:color w:val="000000"/>
                <w:kern w:val="0"/>
                <w:szCs w:val="21"/>
                <w:highlight w:val="none"/>
              </w:rPr>
            </w:pPr>
          </w:p>
        </w:tc>
      </w:tr>
      <w:tr w14:paraId="5817CDAC">
        <w:tblPrEx>
          <w:tblCellMar>
            <w:top w:w="0" w:type="dxa"/>
            <w:left w:w="108" w:type="dxa"/>
            <w:bottom w:w="0" w:type="dxa"/>
            <w:right w:w="108" w:type="dxa"/>
          </w:tblCellMar>
        </w:tblPrEx>
        <w:trPr>
          <w:trHeight w:val="299" w:hRule="atLeast"/>
        </w:trPr>
        <w:tc>
          <w:tcPr>
            <w:tcW w:w="878" w:type="dxa"/>
            <w:tcBorders>
              <w:top w:val="single" w:color="auto" w:sz="4" w:space="0"/>
              <w:left w:val="single" w:color="auto" w:sz="4" w:space="0"/>
              <w:bottom w:val="single" w:color="auto" w:sz="4" w:space="0"/>
              <w:right w:val="single" w:color="auto" w:sz="4" w:space="0"/>
            </w:tcBorders>
            <w:vAlign w:val="center"/>
          </w:tcPr>
          <w:p w14:paraId="0BB8935D">
            <w:pPr>
              <w:widowControl/>
              <w:rPr>
                <w:rFonts w:ascii="宋体" w:hAnsi="宋体"/>
                <w:color w:val="000000"/>
                <w:kern w:val="0"/>
                <w:szCs w:val="21"/>
                <w:highlight w:val="none"/>
              </w:rPr>
            </w:pPr>
            <w:r>
              <w:rPr>
                <w:rFonts w:hint="eastAsia" w:ascii="宋体" w:hAnsi="宋体" w:cs="宋体"/>
                <w:b/>
                <w:bCs/>
                <w:color w:val="000000"/>
                <w:kern w:val="0"/>
                <w:szCs w:val="21"/>
                <w:highlight w:val="none"/>
              </w:rPr>
              <w:t>四</w:t>
            </w:r>
          </w:p>
        </w:tc>
        <w:tc>
          <w:tcPr>
            <w:tcW w:w="6696" w:type="dxa"/>
            <w:tcBorders>
              <w:top w:val="single" w:color="auto" w:sz="4" w:space="0"/>
              <w:left w:val="nil"/>
              <w:bottom w:val="single" w:color="auto" w:sz="4" w:space="0"/>
              <w:right w:val="single" w:color="auto" w:sz="4" w:space="0"/>
            </w:tcBorders>
            <w:vAlign w:val="center"/>
          </w:tcPr>
          <w:p w14:paraId="0689AC6E">
            <w:pPr>
              <w:widowControl/>
              <w:rPr>
                <w:rFonts w:ascii="宋体" w:hAnsi="宋体"/>
                <w:color w:val="000000"/>
                <w:szCs w:val="21"/>
                <w:highlight w:val="none"/>
              </w:rPr>
            </w:pPr>
            <w:r>
              <w:rPr>
                <w:rFonts w:hint="eastAsia" w:ascii="宋体" w:hAnsi="宋体" w:cs="宋体"/>
                <w:b/>
                <w:bCs/>
                <w:color w:val="000000"/>
                <w:kern w:val="0"/>
                <w:szCs w:val="21"/>
                <w:highlight w:val="none"/>
              </w:rPr>
              <w:t>技术文件目录表</w:t>
            </w:r>
          </w:p>
        </w:tc>
        <w:tc>
          <w:tcPr>
            <w:tcW w:w="720" w:type="dxa"/>
            <w:tcBorders>
              <w:top w:val="single" w:color="auto" w:sz="4" w:space="0"/>
              <w:left w:val="nil"/>
              <w:bottom w:val="single" w:color="auto" w:sz="4" w:space="0"/>
              <w:right w:val="single" w:color="auto" w:sz="4" w:space="0"/>
            </w:tcBorders>
            <w:vAlign w:val="bottom"/>
          </w:tcPr>
          <w:p w14:paraId="3B493A77">
            <w:pPr>
              <w:widowControl/>
              <w:rPr>
                <w:rFonts w:ascii="宋体" w:hAnsi="宋体"/>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33DCA7BC">
            <w:pPr>
              <w:widowControl/>
              <w:rPr>
                <w:rFonts w:ascii="宋体" w:hAnsi="宋体"/>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bottom"/>
          </w:tcPr>
          <w:p w14:paraId="0F6DAEE1">
            <w:pPr>
              <w:widowControl/>
              <w:rPr>
                <w:rFonts w:ascii="宋体" w:hAnsi="宋体"/>
                <w:color w:val="000000"/>
                <w:kern w:val="0"/>
                <w:szCs w:val="21"/>
                <w:highlight w:val="none"/>
              </w:rPr>
            </w:pPr>
          </w:p>
        </w:tc>
      </w:tr>
      <w:tr w14:paraId="1FBE35EA">
        <w:tblPrEx>
          <w:tblCellMar>
            <w:top w:w="0" w:type="dxa"/>
            <w:left w:w="108" w:type="dxa"/>
            <w:bottom w:w="0" w:type="dxa"/>
            <w:right w:w="108" w:type="dxa"/>
          </w:tblCellMar>
        </w:tblPrEx>
        <w:trPr>
          <w:trHeight w:val="111" w:hRule="atLeast"/>
        </w:trPr>
        <w:tc>
          <w:tcPr>
            <w:tcW w:w="878" w:type="dxa"/>
            <w:tcBorders>
              <w:top w:val="single" w:color="auto" w:sz="4" w:space="0"/>
              <w:left w:val="single" w:color="auto" w:sz="4" w:space="0"/>
              <w:bottom w:val="single" w:color="auto" w:sz="4" w:space="0"/>
              <w:right w:val="single" w:color="auto" w:sz="4" w:space="0"/>
            </w:tcBorders>
            <w:vAlign w:val="center"/>
          </w:tcPr>
          <w:p w14:paraId="5C17DD85">
            <w:pPr>
              <w:widowControl/>
              <w:rPr>
                <w:rFonts w:ascii="宋体" w:hAnsi="宋体"/>
                <w:color w:val="000000"/>
                <w:kern w:val="0"/>
                <w:szCs w:val="21"/>
                <w:highlight w:val="none"/>
              </w:rPr>
            </w:pPr>
            <w:r>
              <w:rPr>
                <w:rFonts w:hint="eastAsia" w:ascii="宋体" w:hAnsi="宋体"/>
                <w:color w:val="000000"/>
                <w:kern w:val="0"/>
                <w:szCs w:val="21"/>
                <w:highlight w:val="none"/>
              </w:rPr>
              <w:t>4.</w:t>
            </w:r>
            <w:r>
              <w:rPr>
                <w:rFonts w:ascii="宋体" w:hAnsi="宋体"/>
                <w:color w:val="000000"/>
                <w:kern w:val="0"/>
                <w:szCs w:val="21"/>
                <w:highlight w:val="none"/>
              </w:rPr>
              <w:t>1</w:t>
            </w:r>
          </w:p>
        </w:tc>
        <w:tc>
          <w:tcPr>
            <w:tcW w:w="6696" w:type="dxa"/>
            <w:tcBorders>
              <w:top w:val="single" w:color="auto" w:sz="4" w:space="0"/>
              <w:left w:val="nil"/>
              <w:bottom w:val="single" w:color="auto" w:sz="4" w:space="0"/>
              <w:right w:val="single" w:color="auto" w:sz="4" w:space="0"/>
            </w:tcBorders>
            <w:vAlign w:val="center"/>
          </w:tcPr>
          <w:p w14:paraId="6A340635">
            <w:pPr>
              <w:widowControl/>
              <w:rPr>
                <w:rFonts w:ascii="宋体" w:hAnsi="宋体"/>
                <w:color w:val="000000"/>
                <w:szCs w:val="21"/>
                <w:highlight w:val="none"/>
              </w:rPr>
            </w:pPr>
            <w:r>
              <w:rPr>
                <w:rFonts w:hint="eastAsia" w:ascii="宋体" w:hAnsi="宋体"/>
                <w:color w:val="000000"/>
                <w:szCs w:val="21"/>
                <w:highlight w:val="none"/>
              </w:rPr>
              <w:t>技术评审索引表（格式16）</w:t>
            </w:r>
          </w:p>
        </w:tc>
        <w:tc>
          <w:tcPr>
            <w:tcW w:w="720" w:type="dxa"/>
            <w:tcBorders>
              <w:top w:val="single" w:color="auto" w:sz="4" w:space="0"/>
              <w:left w:val="nil"/>
              <w:bottom w:val="single" w:color="auto" w:sz="4" w:space="0"/>
              <w:right w:val="single" w:color="auto" w:sz="4" w:space="0"/>
            </w:tcBorders>
            <w:vAlign w:val="bottom"/>
          </w:tcPr>
          <w:p w14:paraId="767F37F3">
            <w:pPr>
              <w:widowControl/>
              <w:rPr>
                <w:rFonts w:ascii="宋体" w:hAnsi="宋体"/>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5B067F60">
            <w:pPr>
              <w:widowControl/>
              <w:rPr>
                <w:rFonts w:ascii="宋体" w:hAnsi="宋体"/>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bottom"/>
          </w:tcPr>
          <w:p w14:paraId="34068803">
            <w:pPr>
              <w:widowControl/>
              <w:rPr>
                <w:rFonts w:ascii="宋体" w:hAnsi="宋体"/>
                <w:color w:val="000000"/>
                <w:kern w:val="0"/>
                <w:szCs w:val="21"/>
                <w:highlight w:val="none"/>
              </w:rPr>
            </w:pPr>
          </w:p>
        </w:tc>
      </w:tr>
      <w:tr w14:paraId="75869B0D">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0097E05A">
            <w:pPr>
              <w:widowControl/>
              <w:rPr>
                <w:rFonts w:ascii="宋体" w:hAnsi="宋体"/>
                <w:color w:val="000000"/>
                <w:kern w:val="0"/>
                <w:szCs w:val="21"/>
                <w:highlight w:val="none"/>
              </w:rPr>
            </w:pPr>
            <w:r>
              <w:rPr>
                <w:rFonts w:hint="eastAsia" w:ascii="宋体" w:hAnsi="宋体"/>
                <w:color w:val="000000"/>
                <w:kern w:val="0"/>
                <w:szCs w:val="21"/>
                <w:highlight w:val="none"/>
              </w:rPr>
              <w:t>4.2</w:t>
            </w:r>
          </w:p>
        </w:tc>
        <w:tc>
          <w:tcPr>
            <w:tcW w:w="6696" w:type="dxa"/>
            <w:tcBorders>
              <w:top w:val="single" w:color="auto" w:sz="4" w:space="0"/>
              <w:left w:val="nil"/>
              <w:bottom w:val="single" w:color="auto" w:sz="4" w:space="0"/>
              <w:right w:val="single" w:color="auto" w:sz="4" w:space="0"/>
            </w:tcBorders>
            <w:vAlign w:val="center"/>
          </w:tcPr>
          <w:p w14:paraId="6B856270">
            <w:pPr>
              <w:widowControl/>
              <w:rPr>
                <w:rFonts w:ascii="宋体" w:hAnsi="宋体"/>
                <w:color w:val="000000"/>
                <w:szCs w:val="21"/>
                <w:highlight w:val="none"/>
              </w:rPr>
            </w:pPr>
            <w:r>
              <w:rPr>
                <w:rFonts w:hint="eastAsia" w:ascii="宋体" w:hAnsi="宋体"/>
                <w:color w:val="000000"/>
                <w:szCs w:val="21"/>
                <w:highlight w:val="none"/>
              </w:rPr>
              <w:t>投标技术方案（格式17）</w:t>
            </w:r>
          </w:p>
        </w:tc>
        <w:tc>
          <w:tcPr>
            <w:tcW w:w="720" w:type="dxa"/>
            <w:tcBorders>
              <w:top w:val="single" w:color="auto" w:sz="4" w:space="0"/>
              <w:left w:val="nil"/>
              <w:bottom w:val="single" w:color="auto" w:sz="4" w:space="0"/>
              <w:right w:val="single" w:color="auto" w:sz="4" w:space="0"/>
            </w:tcBorders>
            <w:vAlign w:val="bottom"/>
          </w:tcPr>
          <w:p w14:paraId="6F83109E">
            <w:pPr>
              <w:widowControl/>
              <w:rPr>
                <w:rFonts w:ascii="宋体" w:hAnsi="宋体"/>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28D69702">
            <w:pPr>
              <w:widowControl/>
              <w:rPr>
                <w:rFonts w:ascii="宋体" w:hAnsi="宋体"/>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bottom"/>
          </w:tcPr>
          <w:p w14:paraId="2490D577">
            <w:pPr>
              <w:widowControl/>
              <w:rPr>
                <w:rFonts w:ascii="宋体" w:hAnsi="宋体"/>
                <w:color w:val="000000"/>
                <w:kern w:val="0"/>
                <w:szCs w:val="21"/>
                <w:highlight w:val="none"/>
              </w:rPr>
            </w:pPr>
          </w:p>
        </w:tc>
      </w:tr>
      <w:tr w14:paraId="78267A01">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078C62C8">
            <w:pPr>
              <w:widowControl/>
              <w:rPr>
                <w:rFonts w:ascii="宋体" w:hAnsi="宋体"/>
                <w:color w:val="000000"/>
                <w:kern w:val="0"/>
                <w:szCs w:val="21"/>
                <w:highlight w:val="none"/>
              </w:rPr>
            </w:pPr>
            <w:r>
              <w:rPr>
                <w:rFonts w:hint="eastAsia" w:ascii="宋体" w:hAnsi="宋体"/>
                <w:color w:val="000000"/>
                <w:kern w:val="0"/>
                <w:szCs w:val="21"/>
                <w:highlight w:val="none"/>
              </w:rPr>
              <w:t>4.3</w:t>
            </w:r>
          </w:p>
        </w:tc>
        <w:tc>
          <w:tcPr>
            <w:tcW w:w="6696" w:type="dxa"/>
            <w:tcBorders>
              <w:top w:val="single" w:color="auto" w:sz="4" w:space="0"/>
              <w:left w:val="nil"/>
              <w:bottom w:val="single" w:color="auto" w:sz="4" w:space="0"/>
              <w:right w:val="single" w:color="auto" w:sz="4" w:space="0"/>
            </w:tcBorders>
            <w:vAlign w:val="center"/>
          </w:tcPr>
          <w:p w14:paraId="37F8F8C1">
            <w:pPr>
              <w:widowControl/>
              <w:rPr>
                <w:rFonts w:ascii="宋体" w:hAnsi="宋体"/>
                <w:color w:val="000000"/>
                <w:szCs w:val="21"/>
                <w:highlight w:val="none"/>
              </w:rPr>
            </w:pPr>
            <w:r>
              <w:rPr>
                <w:rFonts w:hint="eastAsia" w:ascii="宋体" w:hAnsi="宋体"/>
                <w:color w:val="000000"/>
                <w:szCs w:val="21"/>
                <w:highlight w:val="none"/>
              </w:rPr>
              <w:t>与采购人需求差异表（格式18）</w:t>
            </w:r>
          </w:p>
        </w:tc>
        <w:tc>
          <w:tcPr>
            <w:tcW w:w="720" w:type="dxa"/>
            <w:tcBorders>
              <w:top w:val="single" w:color="auto" w:sz="4" w:space="0"/>
              <w:left w:val="nil"/>
              <w:bottom w:val="single" w:color="auto" w:sz="4" w:space="0"/>
              <w:right w:val="single" w:color="auto" w:sz="4" w:space="0"/>
            </w:tcBorders>
            <w:vAlign w:val="bottom"/>
          </w:tcPr>
          <w:p w14:paraId="00F18FD1">
            <w:pPr>
              <w:widowControl/>
              <w:rPr>
                <w:rFonts w:ascii="宋体" w:hAnsi="宋体"/>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138806D2">
            <w:pPr>
              <w:widowControl/>
              <w:rPr>
                <w:rFonts w:ascii="宋体" w:hAnsi="宋体"/>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bottom"/>
          </w:tcPr>
          <w:p w14:paraId="5B01A104">
            <w:pPr>
              <w:widowControl/>
              <w:rPr>
                <w:rFonts w:ascii="宋体" w:hAnsi="宋体"/>
                <w:color w:val="000000"/>
                <w:kern w:val="0"/>
                <w:szCs w:val="21"/>
                <w:highlight w:val="none"/>
              </w:rPr>
            </w:pPr>
          </w:p>
        </w:tc>
      </w:tr>
      <w:tr w14:paraId="77763D21">
        <w:tblPrEx>
          <w:tblCellMar>
            <w:top w:w="0" w:type="dxa"/>
            <w:left w:w="108" w:type="dxa"/>
            <w:bottom w:w="0" w:type="dxa"/>
            <w:right w:w="108" w:type="dxa"/>
          </w:tblCellMar>
        </w:tblPrEx>
        <w:trPr>
          <w:trHeight w:val="70" w:hRule="atLeast"/>
        </w:trPr>
        <w:tc>
          <w:tcPr>
            <w:tcW w:w="878" w:type="dxa"/>
            <w:tcBorders>
              <w:top w:val="single" w:color="auto" w:sz="4" w:space="0"/>
              <w:left w:val="single" w:color="auto" w:sz="4" w:space="0"/>
              <w:bottom w:val="single" w:color="auto" w:sz="4" w:space="0"/>
              <w:right w:val="single" w:color="auto" w:sz="4" w:space="0"/>
            </w:tcBorders>
            <w:vAlign w:val="center"/>
          </w:tcPr>
          <w:p w14:paraId="08199389">
            <w:pPr>
              <w:widowControl/>
              <w:rPr>
                <w:rFonts w:ascii="宋体" w:hAnsi="宋体"/>
                <w:color w:val="000000"/>
                <w:kern w:val="0"/>
                <w:szCs w:val="21"/>
                <w:highlight w:val="none"/>
              </w:rPr>
            </w:pPr>
            <w:r>
              <w:rPr>
                <w:rFonts w:hint="eastAsia" w:ascii="宋体" w:hAnsi="宋体"/>
                <w:color w:val="000000"/>
                <w:kern w:val="0"/>
                <w:szCs w:val="21"/>
                <w:highlight w:val="none"/>
              </w:rPr>
              <w:t>4.4</w:t>
            </w:r>
          </w:p>
        </w:tc>
        <w:tc>
          <w:tcPr>
            <w:tcW w:w="6696" w:type="dxa"/>
            <w:tcBorders>
              <w:top w:val="single" w:color="auto" w:sz="4" w:space="0"/>
              <w:left w:val="nil"/>
              <w:bottom w:val="single" w:color="auto" w:sz="4" w:space="0"/>
              <w:right w:val="single" w:color="auto" w:sz="4" w:space="0"/>
            </w:tcBorders>
            <w:vAlign w:val="center"/>
          </w:tcPr>
          <w:p w14:paraId="2841CACD">
            <w:pPr>
              <w:widowControl/>
              <w:rPr>
                <w:rFonts w:ascii="宋体" w:hAnsi="宋体"/>
                <w:color w:val="000000"/>
                <w:szCs w:val="21"/>
                <w:highlight w:val="none"/>
              </w:rPr>
            </w:pPr>
            <w:r>
              <w:rPr>
                <w:rFonts w:hint="eastAsia" w:ascii="宋体" w:hAnsi="宋体"/>
                <w:color w:val="000000"/>
                <w:szCs w:val="21"/>
                <w:highlight w:val="none"/>
              </w:rPr>
              <w:t>投标人认为需要提交的其他资料</w:t>
            </w:r>
          </w:p>
        </w:tc>
        <w:tc>
          <w:tcPr>
            <w:tcW w:w="720" w:type="dxa"/>
            <w:tcBorders>
              <w:top w:val="single" w:color="auto" w:sz="4" w:space="0"/>
              <w:left w:val="nil"/>
              <w:bottom w:val="single" w:color="auto" w:sz="4" w:space="0"/>
              <w:right w:val="single" w:color="auto" w:sz="4" w:space="0"/>
            </w:tcBorders>
            <w:vAlign w:val="bottom"/>
          </w:tcPr>
          <w:p w14:paraId="4B4758B9">
            <w:pPr>
              <w:widowControl/>
              <w:rPr>
                <w:rFonts w:ascii="宋体" w:hAnsi="宋体"/>
                <w:color w:val="000000"/>
                <w:kern w:val="0"/>
                <w:szCs w:val="21"/>
                <w:highlight w:val="none"/>
              </w:rPr>
            </w:pPr>
          </w:p>
        </w:tc>
        <w:tc>
          <w:tcPr>
            <w:tcW w:w="720" w:type="dxa"/>
            <w:tcBorders>
              <w:top w:val="single" w:color="auto" w:sz="4" w:space="0"/>
              <w:left w:val="nil"/>
              <w:bottom w:val="single" w:color="auto" w:sz="4" w:space="0"/>
              <w:right w:val="single" w:color="auto" w:sz="4" w:space="0"/>
            </w:tcBorders>
            <w:vAlign w:val="bottom"/>
          </w:tcPr>
          <w:p w14:paraId="23AD56D5">
            <w:pPr>
              <w:widowControl/>
              <w:rPr>
                <w:rFonts w:ascii="宋体" w:hAnsi="宋体"/>
                <w:color w:val="000000"/>
                <w:kern w:val="0"/>
                <w:szCs w:val="21"/>
                <w:highlight w:val="none"/>
              </w:rPr>
            </w:pPr>
          </w:p>
        </w:tc>
        <w:tc>
          <w:tcPr>
            <w:tcW w:w="360" w:type="dxa"/>
            <w:tcBorders>
              <w:top w:val="single" w:color="auto" w:sz="4" w:space="0"/>
              <w:left w:val="nil"/>
              <w:bottom w:val="single" w:color="auto" w:sz="4" w:space="0"/>
              <w:right w:val="single" w:color="auto" w:sz="4" w:space="0"/>
            </w:tcBorders>
            <w:vAlign w:val="bottom"/>
          </w:tcPr>
          <w:p w14:paraId="2C78C884">
            <w:pPr>
              <w:widowControl/>
              <w:rPr>
                <w:rFonts w:ascii="宋体" w:hAnsi="宋体"/>
                <w:color w:val="000000"/>
                <w:kern w:val="0"/>
                <w:szCs w:val="21"/>
                <w:highlight w:val="none"/>
              </w:rPr>
            </w:pPr>
          </w:p>
        </w:tc>
      </w:tr>
    </w:tbl>
    <w:p w14:paraId="25BF8E9B">
      <w:pPr>
        <w:rPr>
          <w:color w:val="000000"/>
          <w:highlight w:val="none"/>
        </w:rPr>
      </w:pPr>
    </w:p>
    <w:p w14:paraId="6EE877C9">
      <w:pPr>
        <w:pStyle w:val="12"/>
        <w:rPr>
          <w:rFonts w:hAnsi="宋体"/>
          <w:bCs/>
          <w:color w:val="000000"/>
          <w:szCs w:val="21"/>
          <w:highlight w:val="none"/>
        </w:rPr>
      </w:pPr>
      <w:r>
        <w:rPr>
          <w:rFonts w:hint="eastAsia" w:hAnsi="宋体"/>
          <w:b/>
          <w:bCs/>
          <w:color w:val="000000"/>
          <w:szCs w:val="21"/>
          <w:highlight w:val="none"/>
        </w:rPr>
        <w:t>注：</w:t>
      </w:r>
      <w:r>
        <w:rPr>
          <w:rFonts w:hint="eastAsia" w:hAnsi="宋体"/>
          <w:bCs/>
          <w:color w:val="000000"/>
          <w:szCs w:val="21"/>
          <w:highlight w:val="none"/>
        </w:rPr>
        <w:t>（</w:t>
      </w:r>
      <w:r>
        <w:rPr>
          <w:rFonts w:hint="eastAsia" w:hAnsi="宋体" w:cs="宋体"/>
          <w:color w:val="000000"/>
          <w:kern w:val="0"/>
          <w:szCs w:val="21"/>
          <w:highlight w:val="none"/>
        </w:rPr>
        <w:t>1）带“</w:t>
      </w:r>
      <w:r>
        <w:rPr>
          <w:rFonts w:hint="eastAsia" w:hAnsi="宋体"/>
          <w:bCs/>
          <w:color w:val="000000"/>
          <w:szCs w:val="21"/>
          <w:highlight w:val="none"/>
        </w:rPr>
        <w:t>★”文件为必须提供的文件；</w:t>
      </w:r>
    </w:p>
    <w:p w14:paraId="33A92A59">
      <w:pPr>
        <w:pStyle w:val="12"/>
        <w:ind w:firstLine="315" w:firstLineChars="150"/>
        <w:rPr>
          <w:rFonts w:hAnsi="宋体" w:cs="宋体"/>
          <w:color w:val="000000"/>
          <w:kern w:val="0"/>
          <w:szCs w:val="21"/>
          <w:highlight w:val="none"/>
        </w:rPr>
      </w:pPr>
      <w:r>
        <w:rPr>
          <w:rFonts w:hint="eastAsia" w:hAnsi="宋体"/>
          <w:bCs/>
          <w:color w:val="000000"/>
          <w:szCs w:val="21"/>
          <w:highlight w:val="none"/>
        </w:rPr>
        <w:t>（2）</w:t>
      </w:r>
      <w:r>
        <w:rPr>
          <w:rFonts w:hint="eastAsia" w:hAnsi="宋体" w:cs="宋体"/>
          <w:color w:val="000000"/>
          <w:kern w:val="0"/>
          <w:szCs w:val="21"/>
          <w:highlight w:val="none"/>
        </w:rPr>
        <w:t>上述文件如为复印件的，必须加盖投标人公章；</w:t>
      </w:r>
    </w:p>
    <w:p w14:paraId="6486E40A">
      <w:pPr>
        <w:pStyle w:val="12"/>
        <w:ind w:firstLine="315" w:firstLineChars="150"/>
        <w:rPr>
          <w:rFonts w:hAnsi="宋体" w:cs="宋体"/>
          <w:color w:val="000000"/>
          <w:kern w:val="0"/>
          <w:szCs w:val="21"/>
          <w:highlight w:val="none"/>
        </w:rPr>
      </w:pPr>
      <w:r>
        <w:rPr>
          <w:rFonts w:hint="eastAsia" w:hAnsi="宋体" w:cs="宋体"/>
          <w:color w:val="000000"/>
          <w:kern w:val="0"/>
          <w:szCs w:val="21"/>
          <w:highlight w:val="none"/>
        </w:rPr>
        <w:t>（3）投标人应自行承担所提供上述资料任何错漏而导致的一切后果。</w:t>
      </w:r>
    </w:p>
    <w:p w14:paraId="182DC5EB">
      <w:pPr>
        <w:pStyle w:val="12"/>
        <w:ind w:firstLine="315" w:firstLineChars="150"/>
        <w:rPr>
          <w:rFonts w:hAnsi="宋体" w:cs="宋体"/>
          <w:color w:val="000000"/>
          <w:kern w:val="0"/>
          <w:szCs w:val="21"/>
          <w:highlight w:val="none"/>
        </w:rPr>
      </w:pPr>
      <w:r>
        <w:rPr>
          <w:rFonts w:hint="eastAsia" w:hAnsi="宋体" w:cs="宋体"/>
          <w:color w:val="000000"/>
          <w:kern w:val="0"/>
          <w:szCs w:val="21"/>
          <w:highlight w:val="none"/>
        </w:rPr>
        <w:t>（4）投标人请按照上述顺序编好页码。</w:t>
      </w:r>
    </w:p>
    <w:p w14:paraId="738F748E">
      <w:pPr>
        <w:pStyle w:val="12"/>
        <w:ind w:firstLine="315" w:firstLineChars="150"/>
        <w:rPr>
          <w:color w:val="000000"/>
          <w:szCs w:val="21"/>
          <w:highlight w:val="none"/>
        </w:rPr>
        <w:sectPr>
          <w:headerReference r:id="rId13" w:type="default"/>
          <w:footerReference r:id="rId14" w:type="default"/>
          <w:pgSz w:w="11907" w:h="16840"/>
          <w:pgMar w:top="1418" w:right="1304" w:bottom="1361" w:left="1361" w:header="737" w:footer="737" w:gutter="0"/>
          <w:cols w:space="720" w:num="1"/>
          <w:docGrid w:linePitch="285" w:charSpace="0"/>
        </w:sectPr>
      </w:pPr>
    </w:p>
    <w:p w14:paraId="271AEFA3">
      <w:pPr>
        <w:pStyle w:val="4"/>
        <w:spacing w:line="240" w:lineRule="auto"/>
        <w:rPr>
          <w:color w:val="000000"/>
          <w:highlight w:val="none"/>
        </w:rPr>
      </w:pPr>
      <w:bookmarkStart w:id="1145" w:name="_Toc334795483"/>
      <w:r>
        <w:rPr>
          <w:rFonts w:hint="eastAsia"/>
          <w:color w:val="000000"/>
          <w:highlight w:val="none"/>
        </w:rPr>
        <w:t>格式1                    投标函</w:t>
      </w:r>
      <w:bookmarkEnd w:id="1145"/>
    </w:p>
    <w:p w14:paraId="3C2AA4F9">
      <w:pPr>
        <w:spacing w:line="300" w:lineRule="auto"/>
        <w:rPr>
          <w:rFonts w:ascii="宋体" w:hAnsi="宋体"/>
          <w:b/>
          <w:color w:val="000000"/>
          <w:szCs w:val="21"/>
          <w:highlight w:val="none"/>
        </w:rPr>
      </w:pPr>
      <w:r>
        <w:rPr>
          <w:rFonts w:hint="eastAsia" w:ascii="宋体" w:hAnsi="宋体"/>
          <w:color w:val="000000"/>
          <w:szCs w:val="21"/>
          <w:highlight w:val="none"/>
        </w:rPr>
        <w:t>致</w:t>
      </w:r>
      <w:r>
        <w:rPr>
          <w:rFonts w:hint="eastAsia" w:ascii="宋体" w:hAnsi="宋体"/>
          <w:b/>
          <w:color w:val="000000"/>
          <w:szCs w:val="21"/>
          <w:highlight w:val="none"/>
        </w:rPr>
        <w:t>:广东群升招标代理有限公司</w:t>
      </w:r>
    </w:p>
    <w:p w14:paraId="028F0E39">
      <w:pPr>
        <w:spacing w:line="300" w:lineRule="auto"/>
        <w:ind w:firstLine="480"/>
        <w:rPr>
          <w:rFonts w:ascii="宋体" w:hAnsi="宋体"/>
          <w:color w:val="000000"/>
          <w:szCs w:val="21"/>
          <w:highlight w:val="none"/>
        </w:rPr>
      </w:pPr>
      <w:r>
        <w:rPr>
          <w:rFonts w:hint="eastAsia" w:ascii="宋体" w:hAnsi="宋体"/>
          <w:color w:val="000000"/>
          <w:szCs w:val="21"/>
          <w:highlight w:val="none"/>
        </w:rPr>
        <w:t>根据你方第</w:t>
      </w:r>
      <w:r>
        <w:rPr>
          <w:rFonts w:hint="eastAsia" w:ascii="宋体" w:hAnsi="宋体"/>
          <w:color w:val="000000"/>
          <w:szCs w:val="21"/>
          <w:highlight w:val="none"/>
          <w:u w:val="single"/>
        </w:rPr>
        <w:t xml:space="preserve">      </w:t>
      </w:r>
      <w:r>
        <w:rPr>
          <w:rFonts w:hint="eastAsia" w:ascii="宋体" w:hAnsi="宋体"/>
          <w:color w:val="000000"/>
          <w:szCs w:val="21"/>
          <w:highlight w:val="none"/>
        </w:rPr>
        <w:t>号</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项目的招标文件要求，现正式授权</w:t>
      </w:r>
      <w:r>
        <w:rPr>
          <w:rFonts w:ascii="宋体" w:hAnsi="宋体"/>
          <w:color w:val="000000"/>
          <w:szCs w:val="21"/>
          <w:highlight w:val="none"/>
          <w:u w:val="single"/>
        </w:rPr>
        <w:t xml:space="preserve"> </w:t>
      </w:r>
      <w:r>
        <w:rPr>
          <w:rFonts w:ascii="宋体" w:hAnsi="宋体"/>
          <w:i/>
          <w:color w:val="000000"/>
          <w:szCs w:val="21"/>
          <w:highlight w:val="none"/>
          <w:u w:val="single"/>
        </w:rPr>
        <w:t>（</w:t>
      </w:r>
      <w:r>
        <w:rPr>
          <w:rFonts w:hint="eastAsia" w:ascii="宋体" w:hAnsi="宋体"/>
          <w:i/>
          <w:color w:val="000000"/>
          <w:szCs w:val="21"/>
          <w:highlight w:val="none"/>
          <w:u w:val="single"/>
        </w:rPr>
        <w:t>被授权人职务及名称</w:t>
      </w:r>
      <w:r>
        <w:rPr>
          <w:rFonts w:ascii="宋体" w:hAnsi="宋体"/>
          <w:i/>
          <w:color w:val="000000"/>
          <w:szCs w:val="21"/>
          <w:highlight w:val="none"/>
          <w:u w:val="single"/>
        </w:rPr>
        <w:t>）</w:t>
      </w:r>
      <w:r>
        <w:rPr>
          <w:rFonts w:hint="eastAsia" w:ascii="宋体" w:hAnsi="宋体"/>
          <w:color w:val="000000"/>
          <w:szCs w:val="21"/>
          <w:highlight w:val="none"/>
          <w:u w:val="single"/>
        </w:rPr>
        <w:t xml:space="preserve"> </w:t>
      </w:r>
      <w:r>
        <w:rPr>
          <w:rFonts w:hint="eastAsia" w:ascii="宋体" w:hAnsi="宋体"/>
          <w:color w:val="000000"/>
          <w:szCs w:val="21"/>
          <w:highlight w:val="none"/>
        </w:rPr>
        <w:t>以投标人</w:t>
      </w:r>
      <w:r>
        <w:rPr>
          <w:rFonts w:hint="eastAsia" w:ascii="宋体" w:hAnsi="宋体"/>
          <w:color w:val="000000"/>
          <w:szCs w:val="21"/>
          <w:highlight w:val="none"/>
          <w:u w:val="single"/>
        </w:rPr>
        <w:t xml:space="preserve"> </w:t>
      </w:r>
      <w:r>
        <w:rPr>
          <w:rFonts w:ascii="宋体" w:hAnsi="宋体"/>
          <w:i/>
          <w:color w:val="000000"/>
          <w:szCs w:val="21"/>
          <w:highlight w:val="none"/>
          <w:u w:val="single"/>
        </w:rPr>
        <w:t>（</w:t>
      </w:r>
      <w:r>
        <w:rPr>
          <w:rFonts w:hint="eastAsia" w:ascii="宋体" w:hAnsi="宋体"/>
          <w:i/>
          <w:color w:val="000000"/>
          <w:szCs w:val="21"/>
          <w:highlight w:val="none"/>
          <w:u w:val="single"/>
        </w:rPr>
        <w:t>投标人单位名称</w:t>
      </w:r>
      <w:r>
        <w:rPr>
          <w:rFonts w:ascii="宋体" w:hAnsi="宋体"/>
          <w:i/>
          <w:color w:val="000000"/>
          <w:szCs w:val="21"/>
          <w:highlight w:val="none"/>
          <w:u w:val="single"/>
        </w:rPr>
        <w:t>）</w:t>
      </w:r>
      <w:r>
        <w:rPr>
          <w:rFonts w:hint="eastAsia" w:ascii="宋体" w:hAnsi="宋体"/>
          <w:color w:val="000000"/>
          <w:szCs w:val="21"/>
          <w:highlight w:val="none"/>
          <w:u w:val="single"/>
        </w:rPr>
        <w:t xml:space="preserve"> </w:t>
      </w:r>
      <w:r>
        <w:rPr>
          <w:rFonts w:hint="eastAsia" w:ascii="宋体" w:hAnsi="宋体"/>
          <w:color w:val="000000"/>
          <w:szCs w:val="21"/>
          <w:highlight w:val="none"/>
        </w:rPr>
        <w:t>的名义全权代表我方参加投标上述项目。</w:t>
      </w:r>
    </w:p>
    <w:p w14:paraId="08D6CC81">
      <w:pPr>
        <w:spacing w:line="300" w:lineRule="auto"/>
        <w:ind w:firstLine="480"/>
        <w:rPr>
          <w:rFonts w:ascii="宋体" w:hAnsi="宋体"/>
          <w:color w:val="000000"/>
          <w:szCs w:val="21"/>
          <w:highlight w:val="none"/>
        </w:rPr>
      </w:pPr>
      <w:r>
        <w:rPr>
          <w:rFonts w:hint="eastAsia" w:ascii="宋体" w:hAnsi="宋体"/>
          <w:color w:val="000000"/>
          <w:szCs w:val="21"/>
          <w:highlight w:val="none"/>
        </w:rPr>
        <w:t>现依照你方招标文件要求，提交投标文件正本</w:t>
      </w:r>
      <w:r>
        <w:rPr>
          <w:rFonts w:hint="eastAsia" w:ascii="宋体" w:hAnsi="宋体"/>
          <w:color w:val="000000"/>
          <w:szCs w:val="21"/>
          <w:highlight w:val="none"/>
          <w:u w:val="single"/>
        </w:rPr>
        <w:t xml:space="preserve">   </w:t>
      </w:r>
      <w:r>
        <w:rPr>
          <w:rFonts w:hint="eastAsia" w:ascii="宋体" w:hAnsi="宋体"/>
          <w:color w:val="000000"/>
          <w:szCs w:val="21"/>
          <w:highlight w:val="none"/>
        </w:rPr>
        <w:t>份（内装纸质投标文件及投标文件电子文档各1份），副本</w:t>
      </w:r>
      <w:r>
        <w:rPr>
          <w:rFonts w:hint="eastAsia" w:ascii="宋体" w:hAnsi="宋体"/>
          <w:color w:val="000000"/>
          <w:szCs w:val="21"/>
          <w:highlight w:val="none"/>
          <w:u w:val="single"/>
        </w:rPr>
        <w:t xml:space="preserve">   </w:t>
      </w:r>
      <w:r>
        <w:rPr>
          <w:rFonts w:hint="eastAsia" w:ascii="宋体" w:hAnsi="宋体"/>
          <w:color w:val="000000"/>
          <w:szCs w:val="21"/>
          <w:highlight w:val="none"/>
        </w:rPr>
        <w:t>份。我方在此声明并同意：</w:t>
      </w:r>
    </w:p>
    <w:p w14:paraId="54AB166B">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我方决定参加：项目编号为</w:t>
      </w:r>
      <w:r>
        <w:rPr>
          <w:rFonts w:hint="eastAsia" w:ascii="宋体" w:hAnsi="宋体"/>
          <w:color w:val="000000"/>
          <w:szCs w:val="21"/>
          <w:highlight w:val="none"/>
          <w:u w:val="single"/>
        </w:rPr>
        <w:t xml:space="preserve">          </w:t>
      </w:r>
      <w:r>
        <w:rPr>
          <w:rFonts w:hint="eastAsia" w:ascii="宋体" w:hAnsi="宋体"/>
          <w:color w:val="000000"/>
          <w:szCs w:val="21"/>
          <w:highlight w:val="none"/>
        </w:rPr>
        <w:t>号的投标。投标总报价为人民币</w:t>
      </w:r>
      <w:r>
        <w:rPr>
          <w:rFonts w:hint="eastAsia" w:ascii="宋体" w:hAnsi="宋体"/>
          <w:color w:val="000000"/>
          <w:szCs w:val="21"/>
          <w:highlight w:val="none"/>
          <w:u w:val="single"/>
        </w:rPr>
        <w:t xml:space="preserve">          元</w:t>
      </w:r>
      <w:r>
        <w:rPr>
          <w:rFonts w:hint="eastAsia" w:ascii="宋体" w:hAnsi="宋体"/>
          <w:color w:val="000000"/>
          <w:szCs w:val="21"/>
          <w:highlight w:val="none"/>
        </w:rPr>
        <w:t>。</w:t>
      </w:r>
    </w:p>
    <w:p w14:paraId="52E365EB">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我方愿意遵守采购代理机构招标文件的各项规定，供应符合招标文件中所指定的</w:t>
      </w:r>
      <w:r>
        <w:rPr>
          <w:rFonts w:hint="eastAsia" w:ascii="宋体" w:hAnsi="宋体"/>
          <w:color w:val="000000"/>
          <w:szCs w:val="21"/>
          <w:highlight w:val="none"/>
          <w:u w:val="single"/>
          <w:lang w:eastAsia="zh-CN"/>
        </w:rPr>
        <w:t>潮阳农村商业银行下林分理处新址装修工程项目</w:t>
      </w:r>
      <w:r>
        <w:rPr>
          <w:rFonts w:hint="eastAsia" w:ascii="宋体" w:hAnsi="宋体"/>
          <w:color w:val="000000"/>
          <w:szCs w:val="21"/>
          <w:highlight w:val="none"/>
        </w:rPr>
        <w:t>，按招标文件的要求提供报价。</w:t>
      </w:r>
    </w:p>
    <w:p w14:paraId="207F6A65">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我方同意本投标文件自本项目公告之日起</w:t>
      </w:r>
      <w:r>
        <w:rPr>
          <w:rFonts w:hint="eastAsia" w:ascii="宋体" w:hAnsi="宋体"/>
          <w:color w:val="000000"/>
          <w:szCs w:val="21"/>
          <w:highlight w:val="none"/>
          <w:u w:val="single"/>
        </w:rPr>
        <w:t>90</w:t>
      </w:r>
      <w:r>
        <w:rPr>
          <w:rFonts w:hint="eastAsia" w:ascii="宋体" w:hAnsi="宋体"/>
          <w:color w:val="000000"/>
          <w:szCs w:val="21"/>
          <w:highlight w:val="none"/>
        </w:rPr>
        <w:t>天内有效。如果我方的投标被接受，则直至合同生效时止，本投标始终有效。</w:t>
      </w:r>
    </w:p>
    <w:p w14:paraId="4FC19DE8">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我方已经详细地阅读了全部招标文件及附件，包括澄清及参考文件</w:t>
      </w:r>
      <w:r>
        <w:rPr>
          <w:rFonts w:ascii="宋体" w:hAnsi="宋体"/>
          <w:color w:val="000000"/>
          <w:szCs w:val="21"/>
          <w:highlight w:val="none"/>
        </w:rPr>
        <w:t>（</w:t>
      </w:r>
      <w:r>
        <w:rPr>
          <w:rFonts w:hint="eastAsia" w:ascii="宋体" w:hAnsi="宋体"/>
          <w:color w:val="000000"/>
          <w:szCs w:val="21"/>
          <w:highlight w:val="none"/>
        </w:rPr>
        <w:t>如果有的话</w:t>
      </w:r>
      <w:r>
        <w:rPr>
          <w:rFonts w:ascii="宋体" w:hAnsi="宋体"/>
          <w:color w:val="000000"/>
          <w:szCs w:val="21"/>
          <w:highlight w:val="none"/>
        </w:rPr>
        <w:t>）</w:t>
      </w:r>
      <w:r>
        <w:rPr>
          <w:rFonts w:hint="eastAsia" w:ascii="宋体" w:hAnsi="宋体"/>
          <w:color w:val="000000"/>
          <w:szCs w:val="21"/>
          <w:highlight w:val="none"/>
        </w:rPr>
        <w:t>，我方完全清晰理解招标文件的要求，不存在任何含糊不清和误解之处，同意放弃对这些文件提出异议和质疑的权利。</w:t>
      </w:r>
    </w:p>
    <w:p w14:paraId="5591E05D">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我方完全接受本招标文件中关于投标的规定，并同意放弃对这规定提出异议和质疑的权利。</w:t>
      </w:r>
    </w:p>
    <w:p w14:paraId="33C3D157">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我方同意提供招标文件要求的有关投标的其它资料。</w:t>
      </w:r>
    </w:p>
    <w:p w14:paraId="45E4BC90">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我方承诺在本次投标中提供的一切文件，无论是原件或是复印件均为真实和准确的，绝无任何虚假、伪造和夸大的成份。否则，我方愿意承担相应的后果和法律责任。</w:t>
      </w:r>
    </w:p>
    <w:p w14:paraId="7B1E85BD">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我方完全理解</w:t>
      </w:r>
      <w:r>
        <w:rPr>
          <w:rFonts w:ascii="宋体" w:hAnsi="宋体"/>
          <w:color w:val="000000"/>
          <w:szCs w:val="21"/>
          <w:highlight w:val="none"/>
        </w:rPr>
        <w:t>，</w:t>
      </w:r>
      <w:r>
        <w:rPr>
          <w:rFonts w:hint="eastAsia" w:ascii="宋体" w:hAnsi="宋体"/>
          <w:color w:val="000000"/>
          <w:szCs w:val="21"/>
          <w:highlight w:val="none"/>
        </w:rPr>
        <w:t>评标委员会并无义务必须接受最低报价的投标或其它任何投标。</w:t>
      </w:r>
    </w:p>
    <w:p w14:paraId="6E5D0C66">
      <w:pPr>
        <w:numPr>
          <w:ilvl w:val="0"/>
          <w:numId w:val="13"/>
        </w:numPr>
        <w:spacing w:line="300" w:lineRule="auto"/>
        <w:rPr>
          <w:rFonts w:ascii="宋体" w:hAnsi="宋体"/>
          <w:color w:val="000000"/>
          <w:szCs w:val="21"/>
          <w:highlight w:val="none"/>
        </w:rPr>
      </w:pPr>
      <w:r>
        <w:rPr>
          <w:rFonts w:hint="eastAsia" w:ascii="宋体" w:hAnsi="宋体"/>
          <w:color w:val="000000"/>
          <w:szCs w:val="21"/>
          <w:highlight w:val="none"/>
        </w:rPr>
        <w:t>我方如中标，我将按照招标文件规定向采购代理机构缴纳招标服务费。</w:t>
      </w:r>
    </w:p>
    <w:p w14:paraId="462707D8">
      <w:pPr>
        <w:spacing w:line="300" w:lineRule="auto"/>
        <w:rPr>
          <w:rFonts w:ascii="宋体" w:hAnsi="宋体"/>
          <w:color w:val="000000"/>
          <w:szCs w:val="21"/>
          <w:highlight w:val="none"/>
        </w:rPr>
      </w:pPr>
      <w:r>
        <w:rPr>
          <w:rFonts w:hint="eastAsia" w:ascii="宋体" w:hAnsi="宋体"/>
          <w:color w:val="000000"/>
          <w:szCs w:val="21"/>
          <w:highlight w:val="none"/>
        </w:rPr>
        <w:t>所有与本投标有关的函件请按下列联系方式发送:</w:t>
      </w:r>
    </w:p>
    <w:p w14:paraId="1A0AEDCD">
      <w:pPr>
        <w:spacing w:line="300" w:lineRule="auto"/>
        <w:rPr>
          <w:rFonts w:ascii="宋体" w:hAnsi="宋体"/>
          <w:color w:val="000000"/>
          <w:szCs w:val="21"/>
          <w:highlight w:val="none"/>
          <w:u w:val="single"/>
        </w:rPr>
      </w:pPr>
      <w:r>
        <w:rPr>
          <w:rFonts w:hint="eastAsia" w:ascii="宋体" w:hAnsi="宋体"/>
          <w:color w:val="000000"/>
          <w:szCs w:val="21"/>
          <w:highlight w:val="none"/>
        </w:rPr>
        <w:t>地    址：</w:t>
      </w:r>
      <w:r>
        <w:rPr>
          <w:rFonts w:hint="eastAsia" w:ascii="宋体" w:hAnsi="宋体"/>
          <w:color w:val="000000"/>
          <w:szCs w:val="21"/>
          <w:highlight w:val="none"/>
          <w:u w:val="single"/>
        </w:rPr>
        <w:t xml:space="preserve">                      </w:t>
      </w:r>
      <w:r>
        <w:rPr>
          <w:rFonts w:hint="eastAsia" w:ascii="宋体" w:hAnsi="宋体"/>
          <w:color w:val="000000"/>
          <w:szCs w:val="21"/>
          <w:highlight w:val="none"/>
        </w:rPr>
        <w:t>.  邮政编码：</w:t>
      </w:r>
      <w:r>
        <w:rPr>
          <w:rFonts w:hint="eastAsia" w:ascii="宋体" w:hAnsi="宋体"/>
          <w:color w:val="000000"/>
          <w:szCs w:val="21"/>
          <w:highlight w:val="none"/>
          <w:u w:val="single"/>
        </w:rPr>
        <w:t xml:space="preserve">                     </w:t>
      </w:r>
      <w:r>
        <w:rPr>
          <w:rFonts w:hint="eastAsia" w:ascii="宋体" w:hAnsi="宋体"/>
          <w:color w:val="000000"/>
          <w:szCs w:val="21"/>
          <w:highlight w:val="none"/>
        </w:rPr>
        <w:t>.</w:t>
      </w:r>
    </w:p>
    <w:p w14:paraId="6A836208">
      <w:pPr>
        <w:spacing w:line="300" w:lineRule="auto"/>
        <w:rPr>
          <w:rFonts w:ascii="宋体" w:hAnsi="宋体"/>
          <w:color w:val="000000"/>
          <w:szCs w:val="21"/>
          <w:highlight w:val="none"/>
        </w:rPr>
      </w:pPr>
      <w:r>
        <w:rPr>
          <w:rFonts w:hint="eastAsia" w:ascii="宋体" w:hAnsi="宋体"/>
          <w:color w:val="000000"/>
          <w:szCs w:val="21"/>
          <w:highlight w:val="none"/>
        </w:rPr>
        <w:t>电    话：</w:t>
      </w:r>
      <w:r>
        <w:rPr>
          <w:rFonts w:hint="eastAsia" w:ascii="宋体" w:hAnsi="宋体"/>
          <w:color w:val="000000"/>
          <w:szCs w:val="21"/>
          <w:highlight w:val="none"/>
          <w:u w:val="single"/>
        </w:rPr>
        <w:t xml:space="preserve">          </w:t>
      </w:r>
      <w:r>
        <w:rPr>
          <w:rFonts w:hint="eastAsia" w:ascii="宋体" w:hAnsi="宋体"/>
          <w:color w:val="000000"/>
          <w:szCs w:val="21"/>
          <w:highlight w:val="none"/>
        </w:rPr>
        <w:t>.  传    真：</w:t>
      </w:r>
      <w:r>
        <w:rPr>
          <w:rFonts w:hint="eastAsia" w:ascii="宋体" w:hAnsi="宋体"/>
          <w:color w:val="000000"/>
          <w:szCs w:val="21"/>
          <w:highlight w:val="none"/>
          <w:u w:val="single"/>
        </w:rPr>
        <w:t xml:space="preserve">                     </w:t>
      </w:r>
      <w:r>
        <w:rPr>
          <w:rFonts w:hint="eastAsia" w:ascii="宋体" w:hAnsi="宋体"/>
          <w:color w:val="000000"/>
          <w:szCs w:val="21"/>
          <w:highlight w:val="none"/>
        </w:rPr>
        <w:t>.</w:t>
      </w:r>
    </w:p>
    <w:p w14:paraId="17483B10">
      <w:pPr>
        <w:spacing w:line="300" w:lineRule="auto"/>
        <w:rPr>
          <w:rFonts w:ascii="宋体" w:hAnsi="宋体"/>
          <w:bCs/>
          <w:color w:val="000000"/>
          <w:szCs w:val="21"/>
          <w:highlight w:val="none"/>
        </w:rPr>
      </w:pPr>
      <w:r>
        <w:rPr>
          <w:rFonts w:hint="eastAsia" w:ascii="宋体" w:hAnsi="宋体"/>
          <w:bCs/>
          <w:color w:val="000000"/>
          <w:szCs w:val="21"/>
          <w:highlight w:val="none"/>
        </w:rPr>
        <w:t>投标人全称（加盖公章）:</w:t>
      </w:r>
    </w:p>
    <w:p w14:paraId="12CFC159">
      <w:pPr>
        <w:spacing w:line="300" w:lineRule="auto"/>
        <w:rPr>
          <w:rFonts w:ascii="宋体" w:hAnsi="宋体"/>
          <w:bCs/>
          <w:color w:val="000000"/>
          <w:szCs w:val="21"/>
          <w:highlight w:val="none"/>
        </w:rPr>
      </w:pPr>
      <w:r>
        <w:rPr>
          <w:rFonts w:hint="eastAsia" w:ascii="宋体" w:hAnsi="宋体"/>
          <w:bCs/>
          <w:color w:val="000000"/>
          <w:szCs w:val="21"/>
          <w:highlight w:val="none"/>
        </w:rPr>
        <w:t>法定代表人或其投标人授权代表(</w:t>
      </w:r>
      <w:r>
        <w:rPr>
          <w:rFonts w:hint="eastAsia" w:ascii="宋体" w:hAnsi="宋体"/>
          <w:color w:val="000000"/>
          <w:szCs w:val="21"/>
          <w:highlight w:val="none"/>
        </w:rPr>
        <w:t>签字</w:t>
      </w:r>
      <w:r>
        <w:rPr>
          <w:rFonts w:hint="eastAsia" w:ascii="宋体" w:hAnsi="宋体"/>
          <w:bCs/>
          <w:color w:val="000000"/>
          <w:szCs w:val="21"/>
          <w:highlight w:val="none"/>
        </w:rPr>
        <w:t>)：</w:t>
      </w:r>
    </w:p>
    <w:p w14:paraId="434471A6">
      <w:pPr>
        <w:spacing w:before="120" w:after="120" w:line="300" w:lineRule="auto"/>
        <w:rPr>
          <w:rFonts w:ascii="宋体" w:hAnsi="宋体"/>
          <w:bCs/>
          <w:color w:val="000000"/>
          <w:szCs w:val="21"/>
          <w:highlight w:val="none"/>
        </w:rPr>
      </w:pPr>
      <w:r>
        <w:rPr>
          <w:rFonts w:hint="eastAsia" w:ascii="宋体" w:hAnsi="宋体"/>
          <w:bCs/>
          <w:color w:val="000000"/>
          <w:szCs w:val="21"/>
          <w:highlight w:val="none"/>
        </w:rPr>
        <w:t>日    期：     年   月   日</w:t>
      </w:r>
    </w:p>
    <w:p w14:paraId="0ABA96CD">
      <w:pPr>
        <w:spacing w:before="120" w:after="120" w:line="440" w:lineRule="exact"/>
        <w:rPr>
          <w:rFonts w:ascii="宋体" w:hAnsi="宋体"/>
          <w:bCs/>
          <w:color w:val="000000"/>
          <w:sz w:val="24"/>
          <w:highlight w:val="none"/>
        </w:rPr>
      </w:pPr>
    </w:p>
    <w:p w14:paraId="5E985BD9">
      <w:pPr>
        <w:spacing w:before="120" w:after="120" w:line="440" w:lineRule="exact"/>
        <w:rPr>
          <w:rFonts w:ascii="宋体" w:hAnsi="宋体"/>
          <w:bCs/>
          <w:color w:val="000000"/>
          <w:sz w:val="24"/>
          <w:highlight w:val="none"/>
        </w:rPr>
      </w:pPr>
    </w:p>
    <w:p w14:paraId="50192A4A">
      <w:pPr>
        <w:spacing w:before="120" w:after="120" w:line="440" w:lineRule="exact"/>
        <w:rPr>
          <w:rFonts w:ascii="宋体" w:hAnsi="宋体"/>
          <w:bCs/>
          <w:color w:val="000000"/>
          <w:sz w:val="24"/>
          <w:highlight w:val="none"/>
        </w:rPr>
      </w:pPr>
    </w:p>
    <w:p w14:paraId="4464C1F2">
      <w:pPr>
        <w:spacing w:before="120" w:after="120" w:line="440" w:lineRule="exact"/>
        <w:rPr>
          <w:rFonts w:ascii="宋体" w:hAnsi="宋体"/>
          <w:bCs/>
          <w:color w:val="000000"/>
          <w:sz w:val="24"/>
          <w:highlight w:val="none"/>
        </w:rPr>
      </w:pPr>
    </w:p>
    <w:p w14:paraId="5E96C000">
      <w:pPr>
        <w:spacing w:before="120" w:after="120" w:line="440" w:lineRule="exact"/>
        <w:rPr>
          <w:rFonts w:ascii="宋体" w:hAnsi="宋体"/>
          <w:bCs/>
          <w:color w:val="000000"/>
          <w:sz w:val="24"/>
          <w:highlight w:val="none"/>
        </w:rPr>
      </w:pPr>
    </w:p>
    <w:p w14:paraId="74D37B2B">
      <w:pPr>
        <w:pStyle w:val="4"/>
        <w:rPr>
          <w:color w:val="000000"/>
          <w:highlight w:val="none"/>
        </w:rPr>
        <w:sectPr>
          <w:footerReference r:id="rId15" w:type="default"/>
          <w:pgSz w:w="11906" w:h="16838"/>
          <w:pgMar w:top="936" w:right="1021" w:bottom="936" w:left="1021" w:header="737" w:footer="737" w:gutter="0"/>
          <w:cols w:space="720" w:num="1"/>
          <w:docGrid w:type="linesAndChars" w:linePitch="312" w:charSpace="0"/>
        </w:sectPr>
      </w:pPr>
      <w:bookmarkStart w:id="1146" w:name="_Toc234432974"/>
      <w:bookmarkStart w:id="1147" w:name="_Toc334795484"/>
    </w:p>
    <w:p w14:paraId="543FE947">
      <w:pPr>
        <w:pStyle w:val="4"/>
        <w:rPr>
          <w:color w:val="000000"/>
          <w:highlight w:val="none"/>
        </w:rPr>
      </w:pPr>
      <w:r>
        <w:rPr>
          <w:rFonts w:hint="eastAsia"/>
          <w:color w:val="000000"/>
          <w:highlight w:val="none"/>
        </w:rPr>
        <w:t>格式2                开标一览表</w:t>
      </w:r>
      <w:bookmarkEnd w:id="1146"/>
      <w:bookmarkEnd w:id="1147"/>
    </w:p>
    <w:p w14:paraId="66CD022C">
      <w:pPr>
        <w:spacing w:line="360" w:lineRule="auto"/>
        <w:rPr>
          <w:rFonts w:ascii="宋体" w:hAnsi="宋体"/>
          <w:color w:val="000000"/>
          <w:szCs w:val="21"/>
          <w:highlight w:val="none"/>
        </w:rPr>
      </w:pPr>
      <w:r>
        <w:rPr>
          <w:rFonts w:hint="eastAsia" w:ascii="宋体" w:hAnsi="宋体" w:cs="Tahoma"/>
          <w:color w:val="000000"/>
          <w:szCs w:val="21"/>
          <w:highlight w:val="none"/>
        </w:rPr>
        <w:t>项目名称</w:t>
      </w:r>
      <w:r>
        <w:rPr>
          <w:rFonts w:hint="eastAsia" w:ascii="宋体" w:hAnsi="宋体" w:cs="Tahoma"/>
          <w:color w:val="000000"/>
          <w:kern w:val="28"/>
          <w:szCs w:val="21"/>
          <w:highlight w:val="none"/>
        </w:rPr>
        <w:t xml:space="preserve">：                          </w:t>
      </w:r>
      <w:r>
        <w:rPr>
          <w:rFonts w:ascii="宋体" w:hAnsi="宋体" w:cs="Tahoma"/>
          <w:color w:val="000000"/>
          <w:szCs w:val="21"/>
          <w:highlight w:val="none"/>
        </w:rPr>
        <w:t>项目编号：</w:t>
      </w:r>
      <w:r>
        <w:rPr>
          <w:rFonts w:hint="eastAsia" w:ascii="宋体" w:hAnsi="宋体" w:cs="Tahoma"/>
          <w:color w:val="000000"/>
          <w:szCs w:val="21"/>
          <w:highlight w:val="none"/>
        </w:rPr>
        <w:t xml:space="preserve">                </w:t>
      </w:r>
    </w:p>
    <w:tbl>
      <w:tblPr>
        <w:tblStyle w:val="22"/>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5"/>
        <w:gridCol w:w="5567"/>
      </w:tblGrid>
      <w:tr w14:paraId="68A5A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4515" w:type="dxa"/>
          </w:tcPr>
          <w:p w14:paraId="74BA2FF8">
            <w:pPr>
              <w:snapToGrid w:val="0"/>
              <w:jc w:val="center"/>
              <w:rPr>
                <w:rFonts w:ascii="宋体" w:hAnsi="宋体" w:cs="宋体"/>
                <w:color w:val="000000"/>
                <w:kern w:val="0"/>
                <w:sz w:val="24"/>
                <w:highlight w:val="none"/>
              </w:rPr>
            </w:pPr>
          </w:p>
          <w:p w14:paraId="1FAFE0A2">
            <w:pPr>
              <w:snapToGrid w:val="0"/>
              <w:jc w:val="center"/>
              <w:rPr>
                <w:rFonts w:ascii="宋体" w:hAnsi="宋体"/>
                <w:b/>
                <w:color w:val="000000"/>
                <w:sz w:val="24"/>
                <w:highlight w:val="none"/>
              </w:rPr>
            </w:pPr>
            <w:r>
              <w:rPr>
                <w:rFonts w:hint="eastAsia" w:ascii="宋体" w:hAnsi="宋体" w:cs="宋体"/>
                <w:color w:val="000000"/>
                <w:kern w:val="0"/>
                <w:sz w:val="24"/>
                <w:highlight w:val="none"/>
              </w:rPr>
              <w:t>投标单位名称</w:t>
            </w:r>
          </w:p>
        </w:tc>
        <w:tc>
          <w:tcPr>
            <w:tcW w:w="5567" w:type="dxa"/>
          </w:tcPr>
          <w:p w14:paraId="59EB9506">
            <w:pPr>
              <w:snapToGrid w:val="0"/>
              <w:rPr>
                <w:rFonts w:ascii="宋体" w:hAnsi="宋体"/>
                <w:b/>
                <w:color w:val="000000"/>
                <w:sz w:val="24"/>
                <w:highlight w:val="none"/>
              </w:rPr>
            </w:pPr>
          </w:p>
        </w:tc>
      </w:tr>
      <w:tr w14:paraId="505F1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4515" w:type="dxa"/>
          </w:tcPr>
          <w:p w14:paraId="49C109CD">
            <w:pPr>
              <w:jc w:val="center"/>
              <w:rPr>
                <w:highlight w:val="none"/>
              </w:rPr>
            </w:pPr>
          </w:p>
          <w:p w14:paraId="048252F1">
            <w:pPr>
              <w:jc w:val="center"/>
              <w:rPr>
                <w:highlight w:val="none"/>
              </w:rPr>
            </w:pPr>
            <w:r>
              <w:rPr>
                <w:rFonts w:hint="eastAsia"/>
                <w:highlight w:val="none"/>
              </w:rPr>
              <w:t>投标总价（人民币元）</w:t>
            </w:r>
          </w:p>
          <w:p w14:paraId="74CB43AE">
            <w:pPr>
              <w:pStyle w:val="37"/>
              <w:ind w:firstLine="1440" w:firstLineChars="600"/>
              <w:rPr>
                <w:highlight w:val="none"/>
              </w:rPr>
            </w:pPr>
            <w:r>
              <w:rPr>
                <w:rFonts w:hint="eastAsia" w:ascii="宋体" w:hAnsi="宋体"/>
                <w:color w:val="000000"/>
                <w:sz w:val="24"/>
                <w:highlight w:val="none"/>
              </w:rPr>
              <w:t>（不含税）</w:t>
            </w:r>
          </w:p>
        </w:tc>
        <w:tc>
          <w:tcPr>
            <w:tcW w:w="5567" w:type="dxa"/>
          </w:tcPr>
          <w:p w14:paraId="009D8CAC">
            <w:pPr>
              <w:jc w:val="left"/>
              <w:rPr>
                <w:rFonts w:ascii="宋体" w:hAnsi="宋体"/>
                <w:color w:val="000000"/>
                <w:sz w:val="24"/>
                <w:highlight w:val="none"/>
              </w:rPr>
            </w:pPr>
          </w:p>
          <w:p w14:paraId="7DDFEC31">
            <w:pPr>
              <w:jc w:val="left"/>
              <w:rPr>
                <w:rFonts w:ascii="宋体" w:hAnsi="宋体"/>
                <w:color w:val="000000"/>
                <w:sz w:val="24"/>
                <w:highlight w:val="none"/>
              </w:rPr>
            </w:pPr>
            <w:r>
              <w:rPr>
                <w:rFonts w:hint="eastAsia" w:ascii="宋体" w:hAnsi="宋体"/>
                <w:color w:val="000000"/>
                <w:sz w:val="24"/>
                <w:highlight w:val="none"/>
              </w:rPr>
              <w:t>小写：</w:t>
            </w:r>
          </w:p>
          <w:p w14:paraId="6D3C912B">
            <w:pPr>
              <w:pStyle w:val="36"/>
              <w:rPr>
                <w:sz w:val="24"/>
                <w:szCs w:val="24"/>
                <w:highlight w:val="none"/>
              </w:rPr>
            </w:pPr>
            <w:r>
              <w:rPr>
                <w:rFonts w:hint="eastAsia" w:ascii="宋体" w:hAnsi="宋体"/>
                <w:color w:val="000000"/>
                <w:sz w:val="24"/>
                <w:szCs w:val="24"/>
                <w:highlight w:val="none"/>
              </w:rPr>
              <w:t>大写：</w:t>
            </w:r>
          </w:p>
          <w:p w14:paraId="225A7E51">
            <w:pPr>
              <w:snapToGrid w:val="0"/>
              <w:rPr>
                <w:rFonts w:ascii="宋体" w:hAnsi="宋体"/>
                <w:b/>
                <w:color w:val="000000"/>
                <w:sz w:val="24"/>
                <w:highlight w:val="none"/>
              </w:rPr>
            </w:pPr>
            <w:r>
              <w:rPr>
                <w:rFonts w:hint="eastAsia" w:ascii="宋体" w:hAnsi="宋体"/>
                <w:color w:val="000000"/>
                <w:sz w:val="24"/>
                <w:highlight w:val="none"/>
              </w:rPr>
              <w:t>（其中绿色施工安全防护措施费：</w:t>
            </w:r>
            <w:r>
              <w:rPr>
                <w:rFonts w:hint="eastAsia" w:ascii="宋体" w:hAnsi="宋体"/>
                <w:color w:val="000000"/>
                <w:sz w:val="24"/>
                <w:highlight w:val="none"/>
                <w:lang w:eastAsia="zh-CN"/>
              </w:rPr>
              <w:t>24,240.65</w:t>
            </w:r>
            <w:r>
              <w:rPr>
                <w:rFonts w:hint="eastAsia" w:ascii="宋体" w:hAnsi="宋体"/>
                <w:color w:val="000000"/>
                <w:sz w:val="24"/>
                <w:highlight w:val="none"/>
              </w:rPr>
              <w:t>元）</w:t>
            </w:r>
          </w:p>
        </w:tc>
      </w:tr>
      <w:tr w14:paraId="5A32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4515" w:type="dxa"/>
          </w:tcPr>
          <w:p w14:paraId="1DBC0896">
            <w:pPr>
              <w:snapToGrid w:val="0"/>
              <w:jc w:val="center"/>
              <w:rPr>
                <w:rFonts w:ascii="宋体" w:hAnsi="宋体"/>
                <w:b/>
                <w:color w:val="000000"/>
                <w:sz w:val="24"/>
                <w:highlight w:val="none"/>
              </w:rPr>
            </w:pPr>
          </w:p>
          <w:p w14:paraId="0AAA4F57">
            <w:pPr>
              <w:snapToGrid w:val="0"/>
              <w:jc w:val="center"/>
              <w:rPr>
                <w:rFonts w:ascii="宋体" w:hAnsi="宋体"/>
                <w:b/>
                <w:color w:val="000000"/>
                <w:sz w:val="24"/>
                <w:highlight w:val="none"/>
              </w:rPr>
            </w:pPr>
            <w:r>
              <w:rPr>
                <w:rFonts w:hint="eastAsia" w:ascii="宋体" w:hAnsi="宋体"/>
                <w:bCs/>
                <w:color w:val="000000"/>
                <w:sz w:val="24"/>
                <w:highlight w:val="none"/>
              </w:rPr>
              <w:t>税率（%）</w:t>
            </w:r>
          </w:p>
        </w:tc>
        <w:tc>
          <w:tcPr>
            <w:tcW w:w="5567" w:type="dxa"/>
          </w:tcPr>
          <w:p w14:paraId="54B6FCA2">
            <w:pPr>
              <w:snapToGrid w:val="0"/>
              <w:rPr>
                <w:rFonts w:ascii="宋体" w:hAnsi="宋体"/>
                <w:b/>
                <w:color w:val="000000"/>
                <w:sz w:val="24"/>
                <w:highlight w:val="none"/>
              </w:rPr>
            </w:pPr>
          </w:p>
        </w:tc>
      </w:tr>
      <w:tr w14:paraId="3103D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4515" w:type="dxa"/>
          </w:tcPr>
          <w:p w14:paraId="6D1E72F5">
            <w:pPr>
              <w:jc w:val="center"/>
              <w:rPr>
                <w:highlight w:val="none"/>
              </w:rPr>
            </w:pPr>
          </w:p>
          <w:p w14:paraId="446BDAEC">
            <w:pPr>
              <w:jc w:val="center"/>
              <w:rPr>
                <w:highlight w:val="none"/>
              </w:rPr>
            </w:pPr>
            <w:r>
              <w:rPr>
                <w:rFonts w:hint="eastAsia"/>
                <w:highlight w:val="none"/>
              </w:rPr>
              <w:t>投标总价（人民币元）</w:t>
            </w:r>
          </w:p>
          <w:p w14:paraId="4B43E323">
            <w:pPr>
              <w:pStyle w:val="37"/>
              <w:ind w:firstLine="1440" w:firstLineChars="600"/>
              <w:rPr>
                <w:highlight w:val="none"/>
              </w:rPr>
            </w:pPr>
            <w:r>
              <w:rPr>
                <w:rFonts w:hint="eastAsia" w:ascii="宋体" w:hAnsi="宋体"/>
                <w:color w:val="000000"/>
                <w:sz w:val="24"/>
                <w:highlight w:val="none"/>
              </w:rPr>
              <w:t>（含税）</w:t>
            </w:r>
          </w:p>
        </w:tc>
        <w:tc>
          <w:tcPr>
            <w:tcW w:w="5567" w:type="dxa"/>
          </w:tcPr>
          <w:p w14:paraId="4B07A684">
            <w:pPr>
              <w:jc w:val="left"/>
              <w:rPr>
                <w:rFonts w:ascii="宋体" w:hAnsi="宋体"/>
                <w:color w:val="000000"/>
                <w:sz w:val="24"/>
                <w:highlight w:val="none"/>
              </w:rPr>
            </w:pPr>
          </w:p>
          <w:p w14:paraId="201DAED1">
            <w:pPr>
              <w:jc w:val="left"/>
              <w:rPr>
                <w:rFonts w:ascii="宋体" w:hAnsi="宋体"/>
                <w:color w:val="000000"/>
                <w:sz w:val="24"/>
                <w:highlight w:val="none"/>
              </w:rPr>
            </w:pPr>
            <w:r>
              <w:rPr>
                <w:rFonts w:hint="eastAsia" w:ascii="宋体" w:hAnsi="宋体"/>
                <w:color w:val="000000"/>
                <w:sz w:val="24"/>
                <w:highlight w:val="none"/>
              </w:rPr>
              <w:t>小写：</w:t>
            </w:r>
          </w:p>
          <w:p w14:paraId="26FC21EA">
            <w:pPr>
              <w:pStyle w:val="36"/>
              <w:rPr>
                <w:sz w:val="24"/>
                <w:szCs w:val="24"/>
                <w:highlight w:val="none"/>
              </w:rPr>
            </w:pPr>
            <w:r>
              <w:rPr>
                <w:rFonts w:hint="eastAsia" w:ascii="宋体" w:hAnsi="宋体"/>
                <w:color w:val="000000"/>
                <w:sz w:val="24"/>
                <w:szCs w:val="24"/>
                <w:highlight w:val="none"/>
              </w:rPr>
              <w:t>大写：</w:t>
            </w:r>
          </w:p>
          <w:p w14:paraId="5E415786">
            <w:pPr>
              <w:snapToGrid w:val="0"/>
              <w:rPr>
                <w:rFonts w:ascii="宋体" w:hAnsi="宋体"/>
                <w:b/>
                <w:color w:val="000000"/>
                <w:sz w:val="24"/>
                <w:highlight w:val="none"/>
              </w:rPr>
            </w:pPr>
            <w:r>
              <w:rPr>
                <w:rFonts w:hint="eastAsia" w:ascii="宋体" w:hAnsi="宋体"/>
                <w:color w:val="000000"/>
                <w:sz w:val="24"/>
                <w:highlight w:val="none"/>
              </w:rPr>
              <w:t>（其中绿色施工安全防护措施费：</w:t>
            </w:r>
            <w:r>
              <w:rPr>
                <w:rFonts w:hint="eastAsia" w:ascii="宋体" w:hAnsi="宋体"/>
                <w:color w:val="000000"/>
                <w:sz w:val="24"/>
                <w:highlight w:val="none"/>
                <w:lang w:eastAsia="zh-CN"/>
              </w:rPr>
              <w:t>24,240.65</w:t>
            </w:r>
            <w:r>
              <w:rPr>
                <w:rFonts w:hint="eastAsia" w:ascii="宋体" w:hAnsi="宋体"/>
                <w:color w:val="000000"/>
                <w:sz w:val="24"/>
                <w:highlight w:val="none"/>
              </w:rPr>
              <w:t>元）</w:t>
            </w:r>
          </w:p>
        </w:tc>
      </w:tr>
      <w:tr w14:paraId="3AAE6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4515" w:type="dxa"/>
          </w:tcPr>
          <w:p w14:paraId="74A38742">
            <w:pPr>
              <w:snapToGrid w:val="0"/>
              <w:jc w:val="center"/>
              <w:rPr>
                <w:rFonts w:ascii="宋体" w:hAnsi="宋体"/>
                <w:color w:val="000000"/>
                <w:sz w:val="24"/>
                <w:highlight w:val="none"/>
              </w:rPr>
            </w:pPr>
          </w:p>
          <w:p w14:paraId="358897D2">
            <w:pPr>
              <w:snapToGrid w:val="0"/>
              <w:jc w:val="center"/>
              <w:rPr>
                <w:rFonts w:ascii="宋体" w:hAnsi="宋体"/>
                <w:b/>
                <w:color w:val="000000"/>
                <w:sz w:val="24"/>
                <w:highlight w:val="none"/>
              </w:rPr>
            </w:pPr>
            <w:r>
              <w:rPr>
                <w:rFonts w:hint="eastAsia" w:ascii="宋体" w:hAnsi="宋体"/>
                <w:color w:val="000000"/>
                <w:sz w:val="24"/>
                <w:highlight w:val="none"/>
              </w:rPr>
              <w:t>项目完成时间（含验收合格）</w:t>
            </w:r>
          </w:p>
        </w:tc>
        <w:tc>
          <w:tcPr>
            <w:tcW w:w="5567" w:type="dxa"/>
          </w:tcPr>
          <w:p w14:paraId="2187B2B9">
            <w:pPr>
              <w:snapToGrid w:val="0"/>
              <w:rPr>
                <w:rFonts w:ascii="宋体" w:hAnsi="宋体"/>
                <w:b/>
                <w:color w:val="000000"/>
                <w:sz w:val="24"/>
                <w:highlight w:val="none"/>
              </w:rPr>
            </w:pPr>
          </w:p>
        </w:tc>
      </w:tr>
      <w:tr w14:paraId="721FC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4515" w:type="dxa"/>
          </w:tcPr>
          <w:p w14:paraId="721F6DD2">
            <w:pPr>
              <w:snapToGrid w:val="0"/>
              <w:jc w:val="center"/>
              <w:rPr>
                <w:rFonts w:ascii="宋体" w:hAnsi="宋体"/>
                <w:color w:val="000000"/>
                <w:sz w:val="24"/>
                <w:highlight w:val="none"/>
              </w:rPr>
            </w:pPr>
          </w:p>
          <w:p w14:paraId="7D95794F">
            <w:pPr>
              <w:snapToGrid w:val="0"/>
              <w:jc w:val="center"/>
              <w:rPr>
                <w:rFonts w:ascii="宋体" w:hAnsi="宋体"/>
                <w:b/>
                <w:color w:val="000000"/>
                <w:sz w:val="24"/>
                <w:highlight w:val="none"/>
              </w:rPr>
            </w:pPr>
            <w:r>
              <w:rPr>
                <w:rFonts w:hint="eastAsia" w:ascii="宋体" w:hAnsi="宋体"/>
                <w:color w:val="000000"/>
                <w:sz w:val="24"/>
                <w:highlight w:val="none"/>
              </w:rPr>
              <w:t>备注</w:t>
            </w:r>
          </w:p>
        </w:tc>
        <w:tc>
          <w:tcPr>
            <w:tcW w:w="5567" w:type="dxa"/>
          </w:tcPr>
          <w:p w14:paraId="275B9E7F">
            <w:pPr>
              <w:snapToGrid w:val="0"/>
              <w:rPr>
                <w:rFonts w:ascii="宋体" w:hAnsi="宋体"/>
                <w:b/>
                <w:color w:val="000000"/>
                <w:sz w:val="24"/>
                <w:highlight w:val="none"/>
              </w:rPr>
            </w:pPr>
          </w:p>
        </w:tc>
      </w:tr>
    </w:tbl>
    <w:p w14:paraId="6265F2EC">
      <w:pPr>
        <w:snapToGrid w:val="0"/>
        <w:ind w:left="630" w:hanging="627" w:hangingChars="299"/>
        <w:rPr>
          <w:rFonts w:ascii="宋体" w:hAnsi="宋体"/>
          <w:b/>
          <w:color w:val="000000"/>
          <w:szCs w:val="21"/>
          <w:highlight w:val="none"/>
        </w:rPr>
      </w:pPr>
    </w:p>
    <w:p w14:paraId="61CFC4F9">
      <w:pPr>
        <w:snapToGrid w:val="0"/>
        <w:ind w:left="630" w:hanging="627" w:hangingChars="299"/>
        <w:rPr>
          <w:rFonts w:ascii="宋体" w:hAnsi="宋体"/>
          <w:b/>
          <w:color w:val="000000"/>
          <w:szCs w:val="21"/>
          <w:highlight w:val="none"/>
        </w:rPr>
      </w:pPr>
      <w:r>
        <w:rPr>
          <w:rFonts w:hint="eastAsia" w:ascii="宋体" w:hAnsi="宋体"/>
          <w:b/>
          <w:color w:val="000000"/>
          <w:szCs w:val="21"/>
          <w:highlight w:val="none"/>
        </w:rPr>
        <w:t>注:1.投标人应按“采购人需求”的要求，根据实际情况进行报价。本表内的投标总价为最终报价，投标文件内不得含有任何对本报价进行修改的其他说明，否则将被视为无效投标；</w:t>
      </w:r>
    </w:p>
    <w:p w14:paraId="5E73EDE3">
      <w:pPr>
        <w:snapToGrid w:val="0"/>
        <w:ind w:left="511" w:leftChars="195" w:hanging="102" w:hangingChars="49"/>
        <w:rPr>
          <w:rFonts w:ascii="宋体" w:hAnsi="宋体"/>
          <w:b/>
          <w:color w:val="000000"/>
          <w:szCs w:val="21"/>
          <w:highlight w:val="none"/>
        </w:rPr>
      </w:pPr>
      <w:r>
        <w:rPr>
          <w:rFonts w:hint="eastAsia" w:ascii="宋体" w:hAnsi="宋体"/>
          <w:b/>
          <w:color w:val="000000"/>
          <w:szCs w:val="21"/>
          <w:highlight w:val="none"/>
        </w:rPr>
        <w:t>2.投标总报价包括了中标投标人完成本项目所需的一切工作内容而发生的所有直接费用、间接费用、其它费用、税金等全部费用和中标投标人要求获得的利润以及应由中标投标人承担的义务、责任和风险所发生的一切费用。</w:t>
      </w:r>
    </w:p>
    <w:p w14:paraId="7FA5B6C1">
      <w:pPr>
        <w:snapToGrid w:val="0"/>
        <w:ind w:firstLine="411" w:firstLineChars="196"/>
        <w:rPr>
          <w:rFonts w:ascii="宋体" w:hAnsi="宋体"/>
          <w:b/>
          <w:bCs/>
          <w:color w:val="000000"/>
          <w:szCs w:val="21"/>
          <w:highlight w:val="none"/>
        </w:rPr>
      </w:pPr>
      <w:r>
        <w:rPr>
          <w:rFonts w:hint="eastAsia" w:ascii="宋体" w:hAnsi="宋体"/>
          <w:b/>
          <w:bCs/>
          <w:color w:val="000000"/>
          <w:szCs w:val="21"/>
          <w:highlight w:val="none"/>
        </w:rPr>
        <w:t>3.本投标价为固定不变价；</w:t>
      </w:r>
    </w:p>
    <w:p w14:paraId="7867EB77">
      <w:pPr>
        <w:ind w:firstLine="411" w:firstLineChars="196"/>
        <w:rPr>
          <w:rFonts w:ascii="宋体" w:hAnsi="宋体"/>
          <w:b/>
          <w:color w:val="000000"/>
          <w:szCs w:val="21"/>
          <w:highlight w:val="none"/>
        </w:rPr>
      </w:pPr>
      <w:r>
        <w:rPr>
          <w:rFonts w:hint="eastAsia" w:ascii="宋体" w:hAnsi="宋体"/>
          <w:b/>
          <w:color w:val="000000"/>
          <w:szCs w:val="21"/>
          <w:highlight w:val="none"/>
        </w:rPr>
        <w:t>4.报价以人民币元为单位，保留小数点后两位；</w:t>
      </w:r>
    </w:p>
    <w:p w14:paraId="26DD71FE">
      <w:pPr>
        <w:ind w:firstLine="411" w:firstLineChars="196"/>
        <w:rPr>
          <w:rFonts w:ascii="宋体" w:hAnsi="宋体"/>
          <w:b/>
          <w:color w:val="000000"/>
          <w:szCs w:val="21"/>
          <w:highlight w:val="none"/>
        </w:rPr>
      </w:pPr>
      <w:r>
        <w:rPr>
          <w:rFonts w:hint="eastAsia" w:ascii="宋体" w:hAnsi="宋体"/>
          <w:b/>
          <w:color w:val="000000"/>
          <w:szCs w:val="21"/>
          <w:highlight w:val="none"/>
        </w:rPr>
        <w:t>5.本表格须附在正副的投标文件中，并另封装一份在 “唱标信封”内。</w:t>
      </w:r>
    </w:p>
    <w:p w14:paraId="1FC0A170">
      <w:pPr>
        <w:spacing w:line="400" w:lineRule="exact"/>
        <w:rPr>
          <w:rFonts w:ascii="宋体" w:hAnsi="宋体"/>
          <w:bCs/>
          <w:color w:val="000000"/>
          <w:szCs w:val="21"/>
          <w:highlight w:val="none"/>
        </w:rPr>
      </w:pPr>
      <w:r>
        <w:rPr>
          <w:rFonts w:hint="eastAsia" w:ascii="宋体" w:hAnsi="宋体"/>
          <w:bCs/>
          <w:color w:val="000000"/>
          <w:szCs w:val="21"/>
          <w:highlight w:val="none"/>
        </w:rPr>
        <w:t>投标人全称（加盖公章）:</w:t>
      </w:r>
    </w:p>
    <w:p w14:paraId="4864634F">
      <w:pPr>
        <w:spacing w:line="400" w:lineRule="exact"/>
        <w:rPr>
          <w:rFonts w:ascii="宋体" w:hAnsi="宋体"/>
          <w:bCs/>
          <w:color w:val="000000"/>
          <w:sz w:val="24"/>
          <w:highlight w:val="none"/>
        </w:rPr>
      </w:pPr>
      <w:r>
        <w:rPr>
          <w:rFonts w:hint="eastAsia" w:ascii="宋体" w:hAnsi="宋体"/>
          <w:bCs/>
          <w:color w:val="000000"/>
          <w:szCs w:val="21"/>
          <w:highlight w:val="none"/>
        </w:rPr>
        <w:t>法定代表人或其投标人授权代表(</w:t>
      </w:r>
      <w:r>
        <w:rPr>
          <w:rFonts w:hint="eastAsia" w:ascii="宋体" w:hAnsi="宋体"/>
          <w:color w:val="000000"/>
          <w:szCs w:val="21"/>
          <w:highlight w:val="none"/>
        </w:rPr>
        <w:t>签字</w:t>
      </w:r>
      <w:r>
        <w:rPr>
          <w:rFonts w:hint="eastAsia" w:ascii="宋体" w:hAnsi="宋体"/>
          <w:bCs/>
          <w:color w:val="000000"/>
          <w:szCs w:val="21"/>
          <w:highlight w:val="none"/>
        </w:rPr>
        <w:t xml:space="preserve">)：                   </w:t>
      </w:r>
      <w:r>
        <w:rPr>
          <w:rFonts w:hint="eastAsia" w:ascii="宋体" w:hAnsi="宋体"/>
          <w:color w:val="000000"/>
          <w:szCs w:val="21"/>
          <w:highlight w:val="none"/>
        </w:rPr>
        <w:t>日    期：     年   月   日</w:t>
      </w:r>
    </w:p>
    <w:p w14:paraId="62F2B0B6">
      <w:pPr>
        <w:spacing w:line="400" w:lineRule="exact"/>
        <w:ind w:firstLine="1080" w:firstLineChars="450"/>
        <w:rPr>
          <w:rFonts w:ascii="宋体" w:hAnsi="宋体"/>
          <w:color w:val="000000"/>
          <w:sz w:val="24"/>
          <w:highlight w:val="none"/>
        </w:rPr>
      </w:pPr>
      <w:r>
        <w:rPr>
          <w:rFonts w:hint="eastAsia" w:ascii="宋体" w:hAnsi="宋体"/>
          <w:color w:val="000000"/>
          <w:sz w:val="24"/>
          <w:highlight w:val="none"/>
        </w:rPr>
        <w:t xml:space="preserve">                               </w:t>
      </w:r>
    </w:p>
    <w:p w14:paraId="79162A97">
      <w:pPr>
        <w:pStyle w:val="4"/>
        <w:rPr>
          <w:color w:val="000000"/>
          <w:highlight w:val="none"/>
        </w:rPr>
        <w:sectPr>
          <w:footerReference r:id="rId16" w:type="default"/>
          <w:pgSz w:w="11906" w:h="16838"/>
          <w:pgMar w:top="936" w:right="1021" w:bottom="936" w:left="1021" w:header="737" w:footer="737" w:gutter="0"/>
          <w:cols w:space="720" w:num="1"/>
          <w:docGrid w:type="linesAndChars" w:linePitch="312" w:charSpace="0"/>
        </w:sectPr>
      </w:pPr>
      <w:bookmarkStart w:id="1148" w:name="_Toc334795485"/>
    </w:p>
    <w:p w14:paraId="16328332">
      <w:pPr>
        <w:pStyle w:val="4"/>
        <w:rPr>
          <w:b w:val="0"/>
          <w:color w:val="000000"/>
          <w:highlight w:val="none"/>
        </w:rPr>
      </w:pPr>
      <w:r>
        <w:rPr>
          <w:rFonts w:hint="eastAsia"/>
          <w:color w:val="000000"/>
          <w:highlight w:val="none"/>
        </w:rPr>
        <w:t>格式3             报价明细表（按清单填写）</w:t>
      </w:r>
      <w:bookmarkEnd w:id="1148"/>
    </w:p>
    <w:p w14:paraId="34E48BF2">
      <w:pPr>
        <w:spacing w:line="360" w:lineRule="auto"/>
        <w:rPr>
          <w:rFonts w:ascii="宋体" w:hAnsi="宋体" w:cs="Tahoma"/>
          <w:color w:val="000000"/>
          <w:szCs w:val="21"/>
          <w:highlight w:val="none"/>
        </w:rPr>
      </w:pPr>
    </w:p>
    <w:p w14:paraId="7E86C76E">
      <w:pPr>
        <w:spacing w:line="360" w:lineRule="auto"/>
        <w:rPr>
          <w:rFonts w:ascii="宋体" w:hAnsi="宋体"/>
          <w:color w:val="000000"/>
          <w:szCs w:val="21"/>
          <w:highlight w:val="none"/>
        </w:rPr>
      </w:pPr>
      <w:r>
        <w:rPr>
          <w:rFonts w:hint="eastAsia" w:ascii="宋体" w:hAnsi="宋体" w:cs="Tahoma"/>
          <w:color w:val="000000"/>
          <w:szCs w:val="21"/>
          <w:highlight w:val="none"/>
        </w:rPr>
        <w:t>项目名称</w:t>
      </w:r>
      <w:r>
        <w:rPr>
          <w:rFonts w:hint="eastAsia" w:ascii="宋体" w:hAnsi="宋体" w:cs="Tahoma"/>
          <w:color w:val="000000"/>
          <w:kern w:val="28"/>
          <w:szCs w:val="21"/>
          <w:highlight w:val="none"/>
        </w:rPr>
        <w:t xml:space="preserve">：                 </w:t>
      </w:r>
      <w:r>
        <w:rPr>
          <w:rFonts w:ascii="宋体" w:hAnsi="宋体" w:cs="Tahoma"/>
          <w:color w:val="000000"/>
          <w:szCs w:val="21"/>
          <w:highlight w:val="none"/>
        </w:rPr>
        <w:t>项目编号：</w:t>
      </w:r>
      <w:r>
        <w:rPr>
          <w:rFonts w:hint="eastAsia" w:ascii="宋体" w:hAnsi="宋体"/>
          <w:color w:val="000000"/>
          <w:szCs w:val="21"/>
          <w:highlight w:val="none"/>
        </w:rPr>
        <w:t xml:space="preserve"> </w:t>
      </w:r>
      <w:r>
        <w:rPr>
          <w:rFonts w:hint="eastAsia" w:ascii="Arial Unicode MS" w:hAnsi="Arial Unicode MS" w:eastAsia="Arial Unicode MS" w:cs="Arial Unicode MS"/>
          <w:bCs/>
          <w:color w:val="000000"/>
          <w:szCs w:val="21"/>
          <w:highlight w:val="none"/>
        </w:rPr>
        <w:t xml:space="preserve">                     </w:t>
      </w:r>
      <w:r>
        <w:rPr>
          <w:rFonts w:hint="eastAsia" w:ascii="宋体" w:hAnsi="宋体"/>
          <w:bCs/>
          <w:color w:val="000000"/>
          <w:szCs w:val="21"/>
          <w:highlight w:val="none"/>
        </w:rPr>
        <w:t xml:space="preserve">   </w:t>
      </w:r>
      <w:r>
        <w:rPr>
          <w:rFonts w:hint="eastAsia" w:ascii="宋体" w:hAnsi="宋体"/>
          <w:color w:val="000000"/>
          <w:szCs w:val="21"/>
          <w:highlight w:val="none"/>
        </w:rPr>
        <w:t>[货币单位：人民币元]</w:t>
      </w:r>
    </w:p>
    <w:p w14:paraId="37406BF9">
      <w:pPr>
        <w:spacing w:line="360" w:lineRule="auto"/>
        <w:ind w:left="-617" w:leftChars="-294"/>
        <w:jc w:val="left"/>
        <w:rPr>
          <w:rFonts w:hint="default" w:ascii="宋体" w:hAnsi="宋体" w:eastAsia="宋体" w:cs="Tahoma"/>
          <w:color w:val="000000"/>
          <w:szCs w:val="21"/>
          <w:highlight w:val="none"/>
          <w:lang w:val="en-US" w:eastAsia="zh-CN"/>
        </w:rPr>
      </w:pPr>
      <w:r>
        <w:rPr>
          <w:rFonts w:hint="eastAsia" w:ascii="宋体" w:hAnsi="宋体" w:cs="Tahoma"/>
          <w:color w:val="000000"/>
          <w:szCs w:val="21"/>
          <w:highlight w:val="none"/>
        </w:rPr>
        <w:t xml:space="preserve">      </w:t>
      </w:r>
      <w:r>
        <w:rPr>
          <w:rFonts w:hint="eastAsia" w:ascii="宋体" w:hAnsi="宋体" w:cs="Tahoma"/>
          <w:color w:val="000000"/>
          <w:szCs w:val="21"/>
          <w:highlight w:val="none"/>
          <w:lang w:val="en-US" w:eastAsia="zh-CN"/>
        </w:rPr>
        <w:t>(按工程量清单填写)</w:t>
      </w:r>
    </w:p>
    <w:p w14:paraId="0EF8627E">
      <w:pPr>
        <w:pStyle w:val="36"/>
        <w:rPr>
          <w:highlight w:val="none"/>
        </w:rPr>
      </w:pPr>
    </w:p>
    <w:p w14:paraId="13008BB1">
      <w:pPr>
        <w:spacing w:line="360" w:lineRule="auto"/>
        <w:ind w:left="620" w:hanging="617" w:hangingChars="294"/>
        <w:jc w:val="left"/>
        <w:rPr>
          <w:rFonts w:ascii="宋体" w:hAnsi="宋体"/>
          <w:b/>
          <w:color w:val="000000"/>
          <w:szCs w:val="21"/>
          <w:highlight w:val="none"/>
        </w:rPr>
      </w:pPr>
      <w:r>
        <w:rPr>
          <w:rFonts w:hint="eastAsia" w:ascii="宋体" w:hAnsi="宋体"/>
          <w:b/>
          <w:color w:val="000000"/>
          <w:szCs w:val="21"/>
          <w:highlight w:val="none"/>
        </w:rPr>
        <w:t>注：1.此表为《开标一览表》的服务总报价明细表，如有缺项、漏项，视为投标报价中已包含相关费用，采购人无须另外支付任何费用。</w:t>
      </w:r>
    </w:p>
    <w:p w14:paraId="133DEC9A">
      <w:pPr>
        <w:spacing w:line="360" w:lineRule="auto"/>
        <w:ind w:left="614" w:leftChars="195" w:hanging="205" w:hangingChars="98"/>
        <w:jc w:val="left"/>
        <w:rPr>
          <w:rFonts w:ascii="宋体" w:hAnsi="宋体"/>
          <w:b/>
          <w:color w:val="000000"/>
          <w:szCs w:val="21"/>
          <w:highlight w:val="none"/>
        </w:rPr>
      </w:pPr>
      <w:r>
        <w:rPr>
          <w:rFonts w:hint="eastAsia" w:ascii="宋体" w:hAnsi="宋体"/>
          <w:b/>
          <w:color w:val="000000"/>
          <w:szCs w:val="21"/>
          <w:highlight w:val="none"/>
        </w:rPr>
        <w:t>2.关键服务的技术参数请在《服务方案差异响应表》中填写，非关键项目的较简单参数可以在规格型号或备注列直接填写。</w:t>
      </w:r>
    </w:p>
    <w:p w14:paraId="7B8FBE42">
      <w:pPr>
        <w:spacing w:line="360" w:lineRule="auto"/>
        <w:ind w:firstLine="411" w:firstLineChars="196"/>
        <w:jc w:val="left"/>
        <w:rPr>
          <w:rFonts w:ascii="宋体" w:hAnsi="宋体"/>
          <w:b/>
          <w:color w:val="000000"/>
          <w:szCs w:val="21"/>
          <w:highlight w:val="none"/>
        </w:rPr>
      </w:pPr>
      <w:r>
        <w:rPr>
          <w:rFonts w:hint="eastAsia" w:ascii="宋体" w:hAnsi="宋体"/>
          <w:b/>
          <w:color w:val="000000"/>
          <w:szCs w:val="21"/>
          <w:highlight w:val="none"/>
        </w:rPr>
        <w:t>3. 该表格式仅作参考，投标人的详细报价表格式可自定。</w:t>
      </w:r>
    </w:p>
    <w:p w14:paraId="0A6D83E0">
      <w:pPr>
        <w:tabs>
          <w:tab w:val="left" w:pos="5940"/>
        </w:tabs>
        <w:spacing w:line="400" w:lineRule="exact"/>
        <w:rPr>
          <w:rFonts w:ascii="宋体" w:hAnsi="宋体"/>
          <w:color w:val="000000"/>
          <w:szCs w:val="21"/>
          <w:highlight w:val="none"/>
        </w:rPr>
      </w:pPr>
      <w:r>
        <w:rPr>
          <w:rFonts w:hint="eastAsia" w:ascii="宋体" w:hAnsi="宋体"/>
          <w:color w:val="000000"/>
          <w:szCs w:val="21"/>
          <w:highlight w:val="none"/>
        </w:rPr>
        <w:t>投标人名称（盖公章）：</w:t>
      </w:r>
    </w:p>
    <w:p w14:paraId="4E6C25DD">
      <w:pPr>
        <w:spacing w:line="400" w:lineRule="exact"/>
        <w:rPr>
          <w:rFonts w:ascii="宋体" w:hAnsi="宋体"/>
          <w:color w:val="000000"/>
          <w:szCs w:val="21"/>
          <w:highlight w:val="none"/>
        </w:rPr>
      </w:pPr>
      <w:r>
        <w:rPr>
          <w:rFonts w:hint="eastAsia" w:ascii="宋体"/>
          <w:color w:val="000000"/>
          <w:szCs w:val="21"/>
          <w:highlight w:val="none"/>
        </w:rPr>
        <w:t>法定代表人或</w:t>
      </w:r>
      <w:r>
        <w:rPr>
          <w:rFonts w:hint="eastAsia" w:ascii="宋体" w:hAnsi="宋体"/>
          <w:color w:val="000000"/>
          <w:szCs w:val="21"/>
          <w:highlight w:val="none"/>
        </w:rPr>
        <w:t>投标人授权代表（签名或盖章）：         日    期：     年   月   日</w:t>
      </w:r>
    </w:p>
    <w:p w14:paraId="38968BAF">
      <w:pPr>
        <w:pStyle w:val="4"/>
        <w:rPr>
          <w:rFonts w:ascii="黑体"/>
          <w:color w:val="000000"/>
          <w:highlight w:val="none"/>
        </w:rPr>
        <w:sectPr>
          <w:footerReference r:id="rId17" w:type="default"/>
          <w:pgSz w:w="11906" w:h="16838"/>
          <w:pgMar w:top="936" w:right="1021" w:bottom="936" w:left="1021" w:header="737" w:footer="737" w:gutter="0"/>
          <w:cols w:space="720" w:num="1"/>
          <w:docGrid w:type="linesAndChars" w:linePitch="312" w:charSpace="0"/>
        </w:sectPr>
      </w:pPr>
      <w:bookmarkStart w:id="1149" w:name="_Toc334797771"/>
    </w:p>
    <w:p w14:paraId="0B477FDD">
      <w:pPr>
        <w:pStyle w:val="4"/>
        <w:adjustRightInd w:val="0"/>
        <w:snapToGrid w:val="0"/>
        <w:spacing w:beforeLines="50" w:afterLines="50" w:line="360" w:lineRule="auto"/>
        <w:jc w:val="left"/>
        <w:rPr>
          <w:highlight w:val="none"/>
        </w:rPr>
      </w:pPr>
      <w:bookmarkStart w:id="1150" w:name="_Toc435514857"/>
      <w:bookmarkStart w:id="1151" w:name="_Toc435515297"/>
      <w:bookmarkStart w:id="1152" w:name="_Toc435514858"/>
      <w:bookmarkStart w:id="1153" w:name="_Toc435515298"/>
      <w:r>
        <w:rPr>
          <w:rFonts w:hint="eastAsia"/>
          <w:highlight w:val="none"/>
        </w:rPr>
        <w:t>格式4</w:t>
      </w:r>
    </w:p>
    <w:p w14:paraId="475704FC">
      <w:pPr>
        <w:pStyle w:val="4"/>
        <w:adjustRightInd w:val="0"/>
        <w:snapToGrid w:val="0"/>
        <w:spacing w:beforeLines="50" w:afterLines="50" w:line="360" w:lineRule="auto"/>
        <w:jc w:val="center"/>
        <w:rPr>
          <w:b w:val="0"/>
          <w:highlight w:val="none"/>
        </w:rPr>
      </w:pPr>
      <w:r>
        <w:rPr>
          <w:rFonts w:hint="eastAsia"/>
          <w:highlight w:val="none"/>
        </w:rPr>
        <w:t>承诺函</w:t>
      </w:r>
      <w:bookmarkEnd w:id="1150"/>
      <w:bookmarkEnd w:id="1151"/>
    </w:p>
    <w:p w14:paraId="1A475209">
      <w:pPr>
        <w:rPr>
          <w:rFonts w:ascii="宋体" w:hAnsi="宋体"/>
          <w:b/>
          <w:highlight w:val="none"/>
        </w:rPr>
      </w:pPr>
      <w:r>
        <w:rPr>
          <w:rFonts w:hint="eastAsia" w:ascii="宋体" w:hAnsi="宋体"/>
          <w:b/>
          <w:color w:val="000000"/>
          <w:szCs w:val="21"/>
          <w:highlight w:val="none"/>
        </w:rPr>
        <w:t>广东群升招标代理有限公司：</w:t>
      </w:r>
    </w:p>
    <w:p w14:paraId="6733B910">
      <w:pPr>
        <w:snapToGrid w:val="0"/>
        <w:spacing w:beforeLines="50" w:line="360" w:lineRule="auto"/>
        <w:ind w:firstLine="525" w:firstLineChars="250"/>
        <w:rPr>
          <w:rFonts w:ascii="宋体" w:hAnsi="宋体"/>
          <w:highlight w:val="none"/>
        </w:rPr>
      </w:pPr>
      <w:r>
        <w:rPr>
          <w:rFonts w:hint="eastAsia" w:ascii="宋体" w:hAnsi="宋体"/>
          <w:highlight w:val="none"/>
        </w:rPr>
        <w:t>关于贵公司</w:t>
      </w:r>
      <w:r>
        <w:rPr>
          <w:rFonts w:hint="eastAsia" w:ascii="宋体" w:hAnsi="宋体"/>
          <w:highlight w:val="none"/>
          <w:u w:val="single"/>
        </w:rPr>
        <w:t>　　</w:t>
      </w:r>
      <w:r>
        <w:rPr>
          <w:rFonts w:hint="eastAsia" w:ascii="宋体" w:hAnsi="宋体"/>
          <w:highlight w:val="none"/>
        </w:rPr>
        <w:t>年</w:t>
      </w:r>
      <w:r>
        <w:rPr>
          <w:rFonts w:hint="eastAsia" w:ascii="宋体" w:hAnsi="宋体"/>
          <w:highlight w:val="none"/>
          <w:u w:val="single"/>
        </w:rPr>
        <w:t>　　</w:t>
      </w:r>
      <w:r>
        <w:rPr>
          <w:rFonts w:hint="eastAsia" w:ascii="宋体" w:hAnsi="宋体"/>
          <w:highlight w:val="none"/>
        </w:rPr>
        <w:t>月</w:t>
      </w:r>
      <w:r>
        <w:rPr>
          <w:rFonts w:hint="eastAsia" w:ascii="宋体" w:hAnsi="宋体"/>
          <w:highlight w:val="none"/>
          <w:u w:val="single"/>
        </w:rPr>
        <w:t>　　</w:t>
      </w:r>
      <w:r>
        <w:rPr>
          <w:rFonts w:hint="eastAsia" w:ascii="宋体" w:hAnsi="宋体"/>
          <w:highlight w:val="none"/>
        </w:rPr>
        <w:t>日发布项目（项目编号：</w:t>
      </w:r>
      <w:r>
        <w:rPr>
          <w:rFonts w:hint="eastAsia" w:ascii="宋体" w:hAnsi="宋体"/>
          <w:highlight w:val="none"/>
          <w:u w:val="single"/>
        </w:rPr>
        <w:t xml:space="preserve">        </w:t>
      </w:r>
      <w:r>
        <w:rPr>
          <w:rFonts w:hint="eastAsia" w:ascii="宋体" w:hAnsi="宋体"/>
          <w:highlight w:val="none"/>
        </w:rPr>
        <w:t>）的采购公告，本公司（企业）愿意参加投标，并承诺：</w:t>
      </w:r>
    </w:p>
    <w:p w14:paraId="001F1E48">
      <w:pPr>
        <w:snapToGrid w:val="0"/>
        <w:spacing w:beforeLines="50" w:line="360" w:lineRule="auto"/>
        <w:ind w:firstLine="525" w:firstLineChars="250"/>
        <w:rPr>
          <w:rFonts w:ascii="宋体" w:hAnsi="宋体"/>
          <w:highlight w:val="none"/>
        </w:rPr>
      </w:pPr>
      <w:r>
        <w:rPr>
          <w:rFonts w:hint="eastAsia" w:ascii="宋体" w:hAnsi="宋体"/>
          <w:highlight w:val="none"/>
        </w:rPr>
        <w:t>根据《财政部关于信息系统建设项目采购有关问题的通知》（财库[2011]59号）的规定，本公司（企业）及附属机构，并非受托为本项目或者其中分项目的前期工作提供设计、编制规范、进行管理等服务的投标人。否则，由此所造成的损失、不良后果及法律责任，一律由我公司（企业）承担。</w:t>
      </w:r>
    </w:p>
    <w:p w14:paraId="1BB8EB3A">
      <w:pPr>
        <w:snapToGrid w:val="0"/>
        <w:spacing w:beforeLines="50" w:line="360" w:lineRule="auto"/>
        <w:ind w:firstLine="525" w:firstLineChars="250"/>
        <w:rPr>
          <w:rFonts w:hint="eastAsia" w:ascii="宋体" w:hAnsi="宋体"/>
          <w:highlight w:val="none"/>
        </w:rPr>
      </w:pPr>
      <w:r>
        <w:rPr>
          <w:rFonts w:hint="eastAsia"/>
          <w:bCs/>
          <w:szCs w:val="21"/>
          <w:highlight w:val="none"/>
        </w:rPr>
        <w:t>根据《中华人民共和国政府采购法实施条例》的规定，本公司（企业）如为采购项目提供整体设计、规范编制或者项目管理、监理、检测等服务的投标人，不再参加该采购项目的其他采购活动。</w:t>
      </w:r>
      <w:r>
        <w:rPr>
          <w:rFonts w:hint="eastAsia" w:ascii="宋体" w:hAnsi="宋体"/>
          <w:highlight w:val="none"/>
        </w:rPr>
        <w:t>否则，由此所造成的损失、不良后果及法律责任，一律由我公司（企业）承担。</w:t>
      </w:r>
    </w:p>
    <w:p w14:paraId="5D80D8ED">
      <w:pPr>
        <w:snapToGrid w:val="0"/>
        <w:spacing w:beforeLines="50" w:line="360" w:lineRule="auto"/>
        <w:ind w:firstLine="525" w:firstLineChars="250"/>
        <w:rPr>
          <w:rFonts w:hint="eastAsia" w:ascii="宋体" w:hAnsi="宋体"/>
          <w:highlight w:val="none"/>
        </w:rPr>
      </w:pPr>
      <w:r>
        <w:rPr>
          <w:rFonts w:hint="eastAsia" w:ascii="宋体" w:hAnsi="宋体"/>
          <w:highlight w:val="none"/>
        </w:rPr>
        <w:t>根据《中华人民共和国政府采购法实施条例》的规定，本公司（企业）单位负责人为同一人或者存在直接控股、管理关系的不同供应商，不得参加同一合同项下的政府采购活动。否则，由此所造成的损失、不良后果及法律责任，一律由我公司（企业）承担。</w:t>
      </w:r>
    </w:p>
    <w:p w14:paraId="7649A353">
      <w:pPr>
        <w:snapToGrid w:val="0"/>
        <w:spacing w:beforeLines="50" w:line="360" w:lineRule="auto"/>
        <w:ind w:firstLine="525" w:firstLineChars="250"/>
        <w:rPr>
          <w:rFonts w:hint="eastAsia" w:ascii="宋体" w:hAnsi="宋体"/>
          <w:highlight w:val="none"/>
        </w:rPr>
      </w:pPr>
    </w:p>
    <w:p w14:paraId="0EA50F38">
      <w:pPr>
        <w:spacing w:line="360" w:lineRule="auto"/>
        <w:ind w:firstLine="420"/>
        <w:rPr>
          <w:rFonts w:ascii="宋体" w:hAnsi="宋体"/>
          <w:highlight w:val="none"/>
        </w:rPr>
      </w:pPr>
    </w:p>
    <w:p w14:paraId="5344A4F5">
      <w:pPr>
        <w:spacing w:line="360" w:lineRule="auto"/>
        <w:ind w:firstLine="420"/>
        <w:rPr>
          <w:rFonts w:ascii="宋体" w:hAnsi="宋体"/>
          <w:highlight w:val="none"/>
        </w:rPr>
      </w:pPr>
      <w:r>
        <w:rPr>
          <w:rFonts w:hint="eastAsia" w:ascii="宋体" w:hAnsi="宋体"/>
          <w:highlight w:val="none"/>
        </w:rPr>
        <w:t>单位名称：　　　　　　　　　　　　　　　　法定代表人或投标人授权代表（签名或盖章）：</w:t>
      </w:r>
    </w:p>
    <w:p w14:paraId="06122D71">
      <w:pPr>
        <w:spacing w:line="360" w:lineRule="auto"/>
        <w:ind w:firstLine="420"/>
        <w:rPr>
          <w:rFonts w:ascii="宋体" w:hAnsi="宋体"/>
          <w:highlight w:val="none"/>
        </w:rPr>
      </w:pPr>
      <w:r>
        <w:rPr>
          <w:rFonts w:hint="eastAsia" w:ascii="宋体" w:hAnsi="宋体"/>
          <w:highlight w:val="none"/>
        </w:rPr>
        <w:t>单位地址：　　　　　　　　　　　　　　　　单位公章：</w:t>
      </w:r>
    </w:p>
    <w:p w14:paraId="1C441D95">
      <w:pPr>
        <w:spacing w:line="360" w:lineRule="auto"/>
        <w:ind w:firstLine="420"/>
        <w:rPr>
          <w:rFonts w:ascii="宋体" w:hAnsi="宋体"/>
          <w:highlight w:val="none"/>
        </w:rPr>
      </w:pPr>
      <w:r>
        <w:rPr>
          <w:rFonts w:hint="eastAsia" w:ascii="宋体" w:hAnsi="宋体"/>
          <w:highlight w:val="none"/>
        </w:rPr>
        <w:t>邮政编码：　　　　　　　　　　　　　　　　日期：</w:t>
      </w:r>
    </w:p>
    <w:p w14:paraId="1663D4C8">
      <w:pPr>
        <w:pStyle w:val="4"/>
        <w:adjustRightInd w:val="0"/>
        <w:snapToGrid w:val="0"/>
        <w:spacing w:beforeLines="50" w:afterLines="50" w:line="360" w:lineRule="auto"/>
        <w:jc w:val="left"/>
        <w:rPr>
          <w:rFonts w:ascii="新宋体" w:hAnsi="新宋体" w:eastAsia="新宋体" w:cs="新宋体"/>
          <w:b w:val="0"/>
          <w:sz w:val="21"/>
          <w:szCs w:val="21"/>
          <w:highlight w:val="none"/>
        </w:rPr>
        <w:sectPr>
          <w:footerReference r:id="rId18" w:type="default"/>
          <w:pgSz w:w="11906" w:h="16838"/>
          <w:pgMar w:top="936" w:right="1021" w:bottom="936" w:left="1021" w:header="737" w:footer="737" w:gutter="0"/>
          <w:cols w:space="720" w:num="1"/>
          <w:docGrid w:type="linesAndChars" w:linePitch="312" w:charSpace="0"/>
        </w:sectPr>
      </w:pPr>
      <w:r>
        <w:rPr>
          <w:rFonts w:hint="eastAsia" w:ascii="新宋体" w:hAnsi="新宋体" w:eastAsia="新宋体" w:cs="新宋体"/>
          <w:b w:val="0"/>
          <w:sz w:val="21"/>
          <w:szCs w:val="21"/>
          <w:highlight w:val="none"/>
        </w:rPr>
        <w:t xml:space="preserve">   联系电话</w:t>
      </w:r>
      <w:bookmarkEnd w:id="1152"/>
      <w:bookmarkEnd w:id="1153"/>
      <w:r>
        <w:rPr>
          <w:rFonts w:hint="eastAsia" w:ascii="新宋体" w:hAnsi="新宋体" w:eastAsia="新宋体" w:cs="新宋体"/>
          <w:b w:val="0"/>
          <w:sz w:val="21"/>
          <w:szCs w:val="21"/>
          <w:highlight w:val="none"/>
        </w:rPr>
        <w:t>：</w:t>
      </w:r>
    </w:p>
    <w:p w14:paraId="7810B233">
      <w:pPr>
        <w:pStyle w:val="4"/>
        <w:rPr>
          <w:rFonts w:ascii="黑体"/>
          <w:color w:val="000000"/>
          <w:highlight w:val="none"/>
        </w:rPr>
      </w:pPr>
    </w:p>
    <w:p w14:paraId="3F51EDD0">
      <w:pPr>
        <w:pStyle w:val="4"/>
        <w:rPr>
          <w:b w:val="0"/>
          <w:color w:val="000000"/>
          <w:highlight w:val="none"/>
        </w:rPr>
      </w:pPr>
      <w:r>
        <w:rPr>
          <w:rFonts w:hint="eastAsia" w:ascii="黑体"/>
          <w:color w:val="000000"/>
          <w:highlight w:val="none"/>
        </w:rPr>
        <w:t xml:space="preserve">格式5      </w:t>
      </w:r>
      <w:bookmarkStart w:id="1154" w:name="_Toc223939104"/>
      <w:r>
        <w:rPr>
          <w:rFonts w:hint="eastAsia" w:ascii="黑体"/>
          <w:color w:val="000000"/>
          <w:highlight w:val="none"/>
        </w:rPr>
        <w:t xml:space="preserve">        </w:t>
      </w:r>
      <w:bookmarkEnd w:id="1149"/>
      <w:bookmarkEnd w:id="1154"/>
      <w:r>
        <w:rPr>
          <w:rFonts w:hint="eastAsia" w:ascii="黑体"/>
          <w:color w:val="000000"/>
          <w:highlight w:val="none"/>
        </w:rPr>
        <w:t xml:space="preserve"> </w:t>
      </w:r>
      <w:r>
        <w:rPr>
          <w:rFonts w:hint="eastAsia"/>
          <w:color w:val="000000"/>
          <w:highlight w:val="none"/>
        </w:rPr>
        <w:t>法定代表人证明及授权书</w:t>
      </w:r>
    </w:p>
    <w:p w14:paraId="2792EEB4">
      <w:pPr>
        <w:jc w:val="center"/>
        <w:rPr>
          <w:color w:val="000000"/>
          <w:highlight w:val="none"/>
        </w:rPr>
      </w:pPr>
      <w:r>
        <w:rPr>
          <w:rFonts w:ascii="Arial" w:hAnsi="Arial" w:cs="Arial"/>
          <w:b/>
          <w:color w:val="000000"/>
          <w:sz w:val="28"/>
          <w:szCs w:val="28"/>
          <w:highlight w:val="none"/>
        </w:rPr>
        <w:t>（1）法定代表人/负责人资格证明书</w:t>
      </w:r>
    </w:p>
    <w:p w14:paraId="4F5EDD45">
      <w:pPr>
        <w:pStyle w:val="12"/>
        <w:spacing w:line="300" w:lineRule="auto"/>
        <w:rPr>
          <w:rFonts w:hAnsi="宋体"/>
          <w:b/>
          <w:color w:val="000000"/>
          <w:szCs w:val="21"/>
          <w:highlight w:val="none"/>
        </w:rPr>
      </w:pPr>
      <w:r>
        <w:rPr>
          <w:rFonts w:hint="eastAsia" w:hAnsi="宋体"/>
          <w:b/>
          <w:color w:val="000000"/>
          <w:szCs w:val="21"/>
          <w:highlight w:val="none"/>
        </w:rPr>
        <w:t>致:广东群升招标代理有限公司</w:t>
      </w:r>
    </w:p>
    <w:p w14:paraId="11919395">
      <w:pPr>
        <w:spacing w:line="440" w:lineRule="exact"/>
        <w:rPr>
          <w:rFonts w:ascii="Arial" w:hAnsi="Arial" w:cs="Arial"/>
          <w:color w:val="000000"/>
          <w:szCs w:val="21"/>
          <w:highlight w:val="none"/>
        </w:rPr>
      </w:pPr>
      <w:r>
        <w:rPr>
          <w:rFonts w:ascii="Arial" w:hAnsi="Arial" w:cs="Arial"/>
          <w:color w:val="000000"/>
          <w:szCs w:val="21"/>
          <w:highlight w:val="none"/>
        </w:rPr>
        <w:t xml:space="preserve">  </w:t>
      </w:r>
      <w:r>
        <w:rPr>
          <w:rFonts w:ascii="Arial" w:hAnsi="Arial" w:cs="Arial"/>
          <w:color w:val="000000"/>
          <w:szCs w:val="21"/>
          <w:highlight w:val="none"/>
          <w:u w:val="single"/>
        </w:rPr>
        <w:t xml:space="preserve">          </w:t>
      </w:r>
      <w:r>
        <w:rPr>
          <w:rFonts w:ascii="Arial" w:hAnsi="Arial" w:cs="Arial"/>
          <w:color w:val="000000"/>
          <w:szCs w:val="21"/>
          <w:highlight w:val="none"/>
        </w:rPr>
        <w:t>同志，现任我单位</w:t>
      </w:r>
      <w:r>
        <w:rPr>
          <w:rFonts w:ascii="Arial" w:hAnsi="Arial" w:cs="Arial"/>
          <w:color w:val="000000"/>
          <w:szCs w:val="21"/>
          <w:highlight w:val="none"/>
          <w:u w:val="single"/>
        </w:rPr>
        <w:t xml:space="preserve">          </w:t>
      </w:r>
      <w:r>
        <w:rPr>
          <w:rFonts w:ascii="Arial" w:hAnsi="Arial" w:cs="Arial"/>
          <w:color w:val="000000"/>
          <w:szCs w:val="21"/>
          <w:highlight w:val="none"/>
        </w:rPr>
        <w:t>职务，为法定代表人，特此证明。</w:t>
      </w:r>
    </w:p>
    <w:p w14:paraId="7D4EBBB3">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签发日期：           单位：           （盖章）</w:t>
      </w:r>
    </w:p>
    <w:p w14:paraId="7BDEE34A">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附：代表人性别：            年龄：           身份证号码：</w:t>
      </w:r>
    </w:p>
    <w:p w14:paraId="656D7692">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联系电话：</w:t>
      </w:r>
    </w:p>
    <w:p w14:paraId="249816AF">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营业执照号码：                       经济性质：</w:t>
      </w:r>
    </w:p>
    <w:p w14:paraId="7281966C">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主营（产）：</w:t>
      </w:r>
    </w:p>
    <w:p w14:paraId="20E6B0C9">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兼营（产）：</w:t>
      </w:r>
    </w:p>
    <w:p w14:paraId="1901BC67">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进口物品经营许可证号码：</w:t>
      </w:r>
    </w:p>
    <w:p w14:paraId="56762FD6">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主营：</w:t>
      </w:r>
    </w:p>
    <w:p w14:paraId="04D5A0AD">
      <w:pPr>
        <w:spacing w:line="440" w:lineRule="exact"/>
        <w:ind w:firstLine="210" w:firstLineChars="100"/>
        <w:rPr>
          <w:rFonts w:ascii="Arial" w:hAnsi="Arial" w:cs="Arial"/>
          <w:color w:val="000000"/>
          <w:szCs w:val="21"/>
          <w:highlight w:val="none"/>
        </w:rPr>
      </w:pPr>
      <w:r>
        <w:rPr>
          <w:rFonts w:ascii="Arial" w:hAnsi="Arial" w:cs="Arial"/>
          <w:color w:val="000000"/>
          <w:szCs w:val="21"/>
          <w:highlight w:val="none"/>
        </w:rPr>
        <w:t>兼营：</w:t>
      </w:r>
    </w:p>
    <w:p w14:paraId="4BF4E1E8">
      <w:pPr>
        <w:spacing w:line="440" w:lineRule="exact"/>
        <w:rPr>
          <w:rFonts w:ascii="Arial" w:hAnsi="Arial" w:cs="Arial"/>
          <w:color w:val="000000"/>
          <w:szCs w:val="21"/>
          <w:highlight w:val="none"/>
        </w:rPr>
      </w:pPr>
      <w:r>
        <w:rPr>
          <w:rFonts w:ascii="Arial" w:hAnsi="Arial" w:cs="Arial"/>
          <w:color w:val="000000"/>
          <w:szCs w:val="21"/>
          <w:highlight w:val="none"/>
        </w:rPr>
        <w:t>说明：1.法定代表人为企业事业单位、国家机关、社会团体的主要行政负责人。</w:t>
      </w:r>
    </w:p>
    <w:p w14:paraId="6A6768F3">
      <w:pPr>
        <w:spacing w:line="440" w:lineRule="exact"/>
        <w:rPr>
          <w:rFonts w:ascii="Arial" w:hAnsi="Arial" w:cs="Arial"/>
          <w:color w:val="000000"/>
          <w:szCs w:val="21"/>
          <w:highlight w:val="none"/>
        </w:rPr>
      </w:pPr>
      <w:r>
        <w:rPr>
          <w:rFonts w:ascii="Arial" w:hAnsi="Arial" w:cs="Arial"/>
          <w:color w:val="000000"/>
          <w:szCs w:val="21"/>
          <w:highlight w:val="none"/>
        </w:rPr>
        <w:t xml:space="preserve">      2.内容必须填写真实、清楚、涂改无效，不得转让、买卖。</w:t>
      </w:r>
    </w:p>
    <w:p w14:paraId="43FAD7CD">
      <w:pPr>
        <w:spacing w:line="440" w:lineRule="exact"/>
        <w:ind w:firstLine="630" w:firstLineChars="300"/>
        <w:rPr>
          <w:rFonts w:ascii="Arial" w:hAnsi="Arial" w:cs="Arial"/>
          <w:color w:val="000000"/>
          <w:szCs w:val="21"/>
          <w:highlight w:val="none"/>
        </w:rPr>
      </w:pPr>
      <w:r>
        <w:rPr>
          <w:rFonts w:ascii="Arial" w:hAnsi="Arial" w:cs="Arial"/>
          <w:color w:val="000000"/>
          <w:szCs w:val="21"/>
          <w:highlight w:val="none"/>
        </w:rPr>
        <w:t>3.将此证明书提交对方作为合同附件</w:t>
      </w:r>
      <w:r>
        <w:rPr>
          <w:rFonts w:ascii="Arial" w:hAnsi="Arial" w:cs="Arial"/>
          <w:b/>
          <w:color w:val="000000"/>
          <w:szCs w:val="21"/>
          <w:highlight w:val="none"/>
        </w:rPr>
        <w:t>。</w:t>
      </w:r>
    </w:p>
    <w:p w14:paraId="789E0556">
      <w:pPr>
        <w:rPr>
          <w:rFonts w:ascii="Arial" w:hAnsi="Arial" w:cs="Arial"/>
          <w:b/>
          <w:color w:val="000000"/>
          <w:szCs w:val="21"/>
          <w:highlight w:val="none"/>
        </w:rPr>
      </w:pPr>
      <w:r>
        <w:rPr>
          <w:rFonts w:ascii="Arial" w:hAnsi="Arial" w:cs="Arial"/>
          <w:color w:val="000000"/>
          <w:szCs w:val="21"/>
          <w:highlight w:val="none"/>
        </w:rPr>
        <w:t xml:space="preserve"> </w:t>
      </w:r>
      <w:r>
        <w:rPr>
          <w:rFonts w:ascii="Arial" w:hAnsi="Arial" w:cs="Arial"/>
          <w:b/>
          <w:color w:val="000000"/>
          <w:szCs w:val="21"/>
          <w:highlight w:val="none"/>
        </w:rPr>
        <w:t xml:space="preserve"> (为避免废标，请</w:t>
      </w:r>
      <w:r>
        <w:rPr>
          <w:rFonts w:hint="eastAsia" w:ascii="Arial" w:hAnsi="Arial" w:cs="Arial"/>
          <w:b/>
          <w:color w:val="000000"/>
          <w:szCs w:val="21"/>
          <w:highlight w:val="none"/>
        </w:rPr>
        <w:t>投标人</w:t>
      </w:r>
      <w:r>
        <w:rPr>
          <w:rFonts w:ascii="Arial" w:hAnsi="Arial" w:cs="Arial"/>
          <w:b/>
          <w:color w:val="000000"/>
          <w:szCs w:val="21"/>
          <w:highlight w:val="none"/>
        </w:rPr>
        <w:t>务必提供本附件)</w:t>
      </w:r>
    </w:p>
    <w:p w14:paraId="3C6F38D2">
      <w:pPr>
        <w:rPr>
          <w:rFonts w:ascii="Arial" w:hAnsi="Arial" w:cs="Arial"/>
          <w:b/>
          <w:color w:val="000000"/>
          <w:szCs w:val="21"/>
          <w:highlight w:val="none"/>
        </w:rPr>
      </w:pPr>
    </w:p>
    <w:p w14:paraId="4DA22248">
      <w:pPr>
        <w:spacing w:line="300" w:lineRule="auto"/>
        <w:ind w:firstLine="420" w:firstLineChars="200"/>
        <w:rPr>
          <w:rFonts w:ascii="宋体" w:hAnsi="宋体"/>
          <w:color w:val="000000"/>
          <w:szCs w:val="21"/>
          <w:highlight w:val="none"/>
        </w:rPr>
      </w:pPr>
    </w:p>
    <w:p w14:paraId="2EF6B43F">
      <w:pPr>
        <w:pStyle w:val="12"/>
        <w:spacing w:line="300" w:lineRule="auto"/>
        <w:jc w:val="center"/>
        <w:rPr>
          <w:rFonts w:hAnsi="宋体"/>
          <w:b/>
          <w:color w:val="000000"/>
          <w:szCs w:val="21"/>
          <w:highlight w:val="none"/>
        </w:rPr>
      </w:pPr>
      <w:r>
        <w:rPr>
          <w:rFonts w:ascii="Arial" w:hAnsi="Arial" w:cs="Arial"/>
          <w:b/>
          <w:color w:val="000000"/>
          <w:szCs w:val="21"/>
          <w:highlight w:val="none"/>
        </w:rPr>
        <w:pict>
          <v:shape id="AutoShape 4" o:spid="_x0000_s1032" o:spt="176" type="#_x0000_t176" style="position:absolute;left:0pt;margin-left:128.25pt;margin-top:15.85pt;height:124.75pt;width:183.75pt;z-index:251659264;mso-width-relative:page;mso-height-relative:page;" coordsize="21600,21600" o:gfxdata="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HIJu&#10;V9gAAAAKAQAADwAAAAAAAAABACAAAAAiAAAAZHJzL2Rvd25yZXYueG1sUEsBAhQAFAAAAAgAh07i&#10;QMIf2fvpAQAA9AMAAA4AAAAAAAAAAQAgAAAAJwEAAGRycy9lMm9Eb2MueG1sUEsFBgAAAAAGAAYA&#10;WQEAAIIFAAAAAA==&#10;">
            <v:path/>
            <v:fill focussize="0,0"/>
            <v:stroke joinstyle="miter"/>
            <v:imagedata o:title=""/>
            <o:lock v:ext="edit"/>
            <v:textbox>
              <w:txbxContent>
                <w:p w14:paraId="401FC41F">
                  <w:pPr>
                    <w:jc w:val="center"/>
                    <w:rPr>
                      <w:rFonts w:hAnsi="宋体"/>
                      <w:szCs w:val="21"/>
                    </w:rPr>
                  </w:pPr>
                </w:p>
                <w:p w14:paraId="2B8A74AE">
                  <w:pPr>
                    <w:jc w:val="center"/>
                    <w:rPr>
                      <w:rFonts w:hAnsi="宋体"/>
                      <w:szCs w:val="21"/>
                    </w:rPr>
                  </w:pPr>
                </w:p>
                <w:p w14:paraId="527B76CB">
                  <w:pPr>
                    <w:jc w:val="center"/>
                    <w:rPr>
                      <w:rFonts w:hAnsi="宋体"/>
                      <w:szCs w:val="21"/>
                    </w:rPr>
                  </w:pPr>
                </w:p>
                <w:p w14:paraId="0D8A7A39">
                  <w:pPr>
                    <w:jc w:val="center"/>
                    <w:rPr>
                      <w:szCs w:val="21"/>
                    </w:rPr>
                  </w:pPr>
                  <w:r>
                    <w:rPr>
                      <w:rFonts w:hint="eastAsia" w:hAnsi="宋体"/>
                      <w:szCs w:val="21"/>
                    </w:rPr>
                    <w:t>法定代表人身份证复印件</w:t>
                  </w:r>
                </w:p>
              </w:txbxContent>
            </v:textbox>
          </v:shape>
        </w:pict>
      </w:r>
    </w:p>
    <w:p w14:paraId="2A8697DE">
      <w:pPr>
        <w:pStyle w:val="12"/>
        <w:spacing w:line="300" w:lineRule="auto"/>
        <w:jc w:val="center"/>
        <w:rPr>
          <w:rFonts w:hAnsi="宋体"/>
          <w:b/>
          <w:color w:val="000000"/>
          <w:szCs w:val="21"/>
          <w:highlight w:val="none"/>
        </w:rPr>
      </w:pPr>
    </w:p>
    <w:p w14:paraId="2923F06C">
      <w:pPr>
        <w:pStyle w:val="12"/>
        <w:spacing w:line="300" w:lineRule="auto"/>
        <w:ind w:firstLine="2186"/>
        <w:rPr>
          <w:rFonts w:hAnsi="宋体"/>
          <w:b/>
          <w:color w:val="000000"/>
          <w:szCs w:val="21"/>
          <w:highlight w:val="none"/>
        </w:rPr>
      </w:pPr>
    </w:p>
    <w:p w14:paraId="470CC582">
      <w:pPr>
        <w:pStyle w:val="12"/>
        <w:spacing w:line="300" w:lineRule="auto"/>
        <w:jc w:val="center"/>
        <w:rPr>
          <w:rFonts w:hAnsi="宋体"/>
          <w:b/>
          <w:color w:val="000000"/>
          <w:szCs w:val="21"/>
          <w:highlight w:val="none"/>
        </w:rPr>
      </w:pPr>
    </w:p>
    <w:p w14:paraId="6637D591">
      <w:pPr>
        <w:pStyle w:val="12"/>
        <w:spacing w:line="300" w:lineRule="auto"/>
        <w:jc w:val="center"/>
        <w:rPr>
          <w:rFonts w:hAnsi="宋体"/>
          <w:b/>
          <w:color w:val="000000"/>
          <w:szCs w:val="21"/>
          <w:highlight w:val="none"/>
        </w:rPr>
      </w:pPr>
    </w:p>
    <w:p w14:paraId="05F28C8E">
      <w:pPr>
        <w:pStyle w:val="12"/>
        <w:spacing w:line="300" w:lineRule="auto"/>
        <w:jc w:val="center"/>
        <w:rPr>
          <w:rFonts w:hAnsi="宋体"/>
          <w:b/>
          <w:color w:val="000000"/>
          <w:szCs w:val="21"/>
          <w:highlight w:val="none"/>
        </w:rPr>
      </w:pPr>
    </w:p>
    <w:p w14:paraId="291F2102">
      <w:pPr>
        <w:pStyle w:val="12"/>
        <w:spacing w:line="300" w:lineRule="auto"/>
        <w:jc w:val="center"/>
        <w:rPr>
          <w:rFonts w:hAnsi="宋体"/>
          <w:b/>
          <w:color w:val="000000"/>
          <w:szCs w:val="21"/>
          <w:highlight w:val="none"/>
        </w:rPr>
      </w:pPr>
    </w:p>
    <w:p w14:paraId="02043C6A">
      <w:pPr>
        <w:pStyle w:val="12"/>
        <w:spacing w:line="300" w:lineRule="auto"/>
        <w:jc w:val="center"/>
        <w:rPr>
          <w:rFonts w:hAnsi="宋体"/>
          <w:b/>
          <w:color w:val="000000"/>
          <w:szCs w:val="21"/>
          <w:highlight w:val="none"/>
        </w:rPr>
      </w:pPr>
    </w:p>
    <w:p w14:paraId="69E81937">
      <w:pPr>
        <w:pStyle w:val="12"/>
        <w:spacing w:line="300" w:lineRule="auto"/>
        <w:jc w:val="center"/>
        <w:rPr>
          <w:rFonts w:hAnsi="宋体"/>
          <w:b/>
          <w:color w:val="000000"/>
          <w:szCs w:val="21"/>
          <w:highlight w:val="none"/>
        </w:rPr>
      </w:pPr>
    </w:p>
    <w:p w14:paraId="01D7434F">
      <w:pPr>
        <w:pStyle w:val="12"/>
        <w:spacing w:line="300" w:lineRule="auto"/>
        <w:jc w:val="center"/>
        <w:rPr>
          <w:rFonts w:hAnsi="宋体"/>
          <w:b/>
          <w:color w:val="000000"/>
          <w:szCs w:val="21"/>
          <w:highlight w:val="none"/>
        </w:rPr>
      </w:pPr>
    </w:p>
    <w:p w14:paraId="522C6262">
      <w:pPr>
        <w:pStyle w:val="12"/>
        <w:spacing w:line="300" w:lineRule="auto"/>
        <w:jc w:val="center"/>
        <w:rPr>
          <w:rFonts w:hAnsi="宋体"/>
          <w:b/>
          <w:color w:val="000000"/>
          <w:szCs w:val="21"/>
          <w:highlight w:val="none"/>
        </w:rPr>
      </w:pPr>
    </w:p>
    <w:p w14:paraId="034AE49F">
      <w:pPr>
        <w:pStyle w:val="12"/>
        <w:spacing w:line="300" w:lineRule="auto"/>
        <w:jc w:val="center"/>
        <w:rPr>
          <w:rFonts w:hAnsi="宋体"/>
          <w:b/>
          <w:color w:val="000000"/>
          <w:szCs w:val="21"/>
          <w:highlight w:val="none"/>
        </w:rPr>
      </w:pPr>
    </w:p>
    <w:p w14:paraId="7A52041E">
      <w:pPr>
        <w:pStyle w:val="12"/>
        <w:spacing w:line="300" w:lineRule="auto"/>
        <w:jc w:val="center"/>
        <w:rPr>
          <w:rFonts w:hAnsi="宋体"/>
          <w:b/>
          <w:color w:val="000000"/>
          <w:szCs w:val="21"/>
          <w:highlight w:val="none"/>
        </w:rPr>
      </w:pPr>
    </w:p>
    <w:p w14:paraId="76D8BB53">
      <w:pPr>
        <w:spacing w:line="480" w:lineRule="exact"/>
        <w:rPr>
          <w:rFonts w:ascii="Arial" w:hAnsi="Arial" w:cs="Arial"/>
          <w:b/>
          <w:color w:val="000000"/>
          <w:sz w:val="24"/>
          <w:highlight w:val="none"/>
        </w:rPr>
        <w:sectPr>
          <w:footerReference r:id="rId19" w:type="default"/>
          <w:pgSz w:w="11906" w:h="16838"/>
          <w:pgMar w:top="936" w:right="1021" w:bottom="936" w:left="1021" w:header="737" w:footer="737" w:gutter="0"/>
          <w:cols w:space="720" w:num="1"/>
          <w:docGrid w:type="linesAndChars" w:linePitch="312" w:charSpace="0"/>
        </w:sectPr>
      </w:pPr>
    </w:p>
    <w:p w14:paraId="4F7808C3">
      <w:pPr>
        <w:spacing w:line="480" w:lineRule="exact"/>
        <w:jc w:val="center"/>
        <w:rPr>
          <w:rFonts w:ascii="Arial" w:hAnsi="Arial" w:cs="Arial"/>
          <w:b/>
          <w:color w:val="000000"/>
          <w:sz w:val="24"/>
          <w:highlight w:val="none"/>
        </w:rPr>
      </w:pPr>
      <w:r>
        <w:rPr>
          <w:rFonts w:ascii="Arial" w:hAnsi="Arial" w:cs="Arial"/>
          <w:b/>
          <w:color w:val="000000"/>
          <w:sz w:val="24"/>
          <w:highlight w:val="none"/>
        </w:rPr>
        <w:t>（2）法定代表人/负责人授权委托书</w:t>
      </w:r>
    </w:p>
    <w:p w14:paraId="58DA2941">
      <w:pPr>
        <w:adjustRightInd w:val="0"/>
        <w:snapToGrid w:val="0"/>
        <w:spacing w:line="300" w:lineRule="auto"/>
        <w:rPr>
          <w:rFonts w:ascii="Arial" w:hAnsi="Arial" w:cs="Arial"/>
          <w:color w:val="000000"/>
          <w:sz w:val="28"/>
          <w:szCs w:val="28"/>
          <w:highlight w:val="none"/>
        </w:rPr>
      </w:pPr>
    </w:p>
    <w:p w14:paraId="2236A385">
      <w:pPr>
        <w:pStyle w:val="12"/>
        <w:spacing w:line="300" w:lineRule="auto"/>
        <w:rPr>
          <w:rFonts w:ascii="Arial" w:hAnsi="Arial" w:cs="Arial"/>
          <w:b/>
          <w:color w:val="000000"/>
          <w:szCs w:val="21"/>
          <w:highlight w:val="none"/>
        </w:rPr>
      </w:pPr>
      <w:r>
        <w:rPr>
          <w:rFonts w:hint="eastAsia" w:hAnsi="宋体"/>
          <w:b/>
          <w:color w:val="000000"/>
          <w:szCs w:val="21"/>
          <w:highlight w:val="none"/>
        </w:rPr>
        <w:t>致:广东群升招标代理有限公司</w:t>
      </w:r>
      <w:r>
        <w:rPr>
          <w:rFonts w:ascii="Arial" w:hAnsi="Arial" w:cs="Arial"/>
          <w:b/>
          <w:bCs/>
          <w:color w:val="000000"/>
          <w:szCs w:val="21"/>
          <w:highlight w:val="none"/>
        </w:rPr>
        <w:t xml:space="preserve">        </w:t>
      </w:r>
    </w:p>
    <w:p w14:paraId="2864E0C7">
      <w:pPr>
        <w:spacing w:line="480" w:lineRule="exact"/>
        <w:ind w:firstLine="420" w:firstLineChars="200"/>
        <w:rPr>
          <w:rFonts w:ascii="Arial" w:hAnsi="Arial" w:cs="Arial"/>
          <w:color w:val="000000"/>
          <w:szCs w:val="21"/>
          <w:highlight w:val="none"/>
        </w:rPr>
      </w:pPr>
      <w:r>
        <w:rPr>
          <w:rFonts w:ascii="Arial" w:hAnsi="Arial" w:cs="Arial"/>
          <w:color w:val="000000"/>
          <w:szCs w:val="21"/>
          <w:highlight w:val="none"/>
        </w:rPr>
        <w:t>兹授权</w:t>
      </w:r>
      <w:r>
        <w:rPr>
          <w:rFonts w:ascii="Arial" w:hAnsi="Arial" w:cs="Arial"/>
          <w:color w:val="000000"/>
          <w:szCs w:val="21"/>
          <w:highlight w:val="none"/>
          <w:u w:val="single"/>
        </w:rPr>
        <w:t xml:space="preserve">             </w:t>
      </w:r>
      <w:r>
        <w:rPr>
          <w:rFonts w:ascii="Arial" w:hAnsi="Arial" w:cs="Arial"/>
          <w:color w:val="000000"/>
          <w:szCs w:val="21"/>
          <w:highlight w:val="none"/>
        </w:rPr>
        <w:t>同志，为我方签订经济合同及办理其他事务代理人，其权限是：</w:t>
      </w:r>
    </w:p>
    <w:p w14:paraId="56D4E661">
      <w:pPr>
        <w:spacing w:line="480" w:lineRule="exact"/>
        <w:rPr>
          <w:rFonts w:ascii="Arial" w:hAnsi="Arial" w:cs="Arial"/>
          <w:color w:val="000000"/>
          <w:szCs w:val="21"/>
          <w:highlight w:val="none"/>
        </w:rPr>
      </w:pPr>
      <w:r>
        <w:rPr>
          <w:rFonts w:ascii="Arial" w:hAnsi="Arial" w:cs="Arial"/>
          <w:color w:val="000000"/>
          <w:szCs w:val="21"/>
          <w:highlight w:val="none"/>
          <w:u w:val="single"/>
        </w:rPr>
        <w:t xml:space="preserve">                                                   </w:t>
      </w:r>
      <w:r>
        <w:rPr>
          <w:rFonts w:ascii="Arial" w:hAnsi="Arial" w:cs="Arial"/>
          <w:color w:val="000000"/>
          <w:szCs w:val="21"/>
          <w:highlight w:val="none"/>
        </w:rPr>
        <w:t>。</w:t>
      </w:r>
    </w:p>
    <w:p w14:paraId="23343DD0">
      <w:pPr>
        <w:spacing w:line="480" w:lineRule="exact"/>
        <w:rPr>
          <w:rFonts w:ascii="Arial" w:hAnsi="Arial" w:cs="Arial"/>
          <w:color w:val="000000"/>
          <w:szCs w:val="21"/>
          <w:highlight w:val="none"/>
        </w:rPr>
      </w:pPr>
      <w:r>
        <w:rPr>
          <w:rFonts w:ascii="Arial" w:hAnsi="Arial" w:cs="Arial"/>
          <w:color w:val="000000"/>
          <w:szCs w:val="21"/>
          <w:highlight w:val="none"/>
        </w:rPr>
        <w:t>授权单位：          （盖章）     法定代表人              （签名或盖私章）</w:t>
      </w:r>
    </w:p>
    <w:p w14:paraId="5D332424">
      <w:pPr>
        <w:spacing w:line="480" w:lineRule="exact"/>
        <w:rPr>
          <w:rFonts w:ascii="Arial" w:hAnsi="Arial" w:cs="Arial"/>
          <w:color w:val="000000"/>
          <w:szCs w:val="21"/>
          <w:highlight w:val="none"/>
        </w:rPr>
      </w:pPr>
      <w:r>
        <w:rPr>
          <w:rFonts w:ascii="Arial" w:hAnsi="Arial" w:cs="Arial"/>
          <w:color w:val="000000"/>
          <w:szCs w:val="21"/>
          <w:highlight w:val="none"/>
        </w:rPr>
        <w:t>有效期限：至        年       月      日       签发日期：</w:t>
      </w:r>
    </w:p>
    <w:p w14:paraId="322C7BC0">
      <w:pPr>
        <w:spacing w:line="480" w:lineRule="exact"/>
        <w:rPr>
          <w:rFonts w:ascii="Arial" w:hAnsi="Arial" w:cs="Arial"/>
          <w:color w:val="000000"/>
          <w:szCs w:val="21"/>
          <w:highlight w:val="none"/>
        </w:rPr>
      </w:pPr>
      <w:r>
        <w:rPr>
          <w:rFonts w:ascii="Arial" w:hAnsi="Arial" w:cs="Arial"/>
          <w:color w:val="000000"/>
          <w:szCs w:val="21"/>
          <w:highlight w:val="none"/>
        </w:rPr>
        <w:t>附：代理人性别：        年龄：       职务：         身份证号码：</w:t>
      </w:r>
    </w:p>
    <w:p w14:paraId="379C7607">
      <w:pPr>
        <w:spacing w:line="480" w:lineRule="exact"/>
        <w:rPr>
          <w:rFonts w:ascii="Arial" w:hAnsi="Arial" w:cs="Arial"/>
          <w:color w:val="000000"/>
          <w:szCs w:val="21"/>
          <w:highlight w:val="none"/>
        </w:rPr>
      </w:pPr>
      <w:r>
        <w:rPr>
          <w:rFonts w:ascii="Arial" w:hAnsi="Arial" w:cs="Arial"/>
          <w:color w:val="000000"/>
          <w:szCs w:val="21"/>
          <w:highlight w:val="none"/>
        </w:rPr>
        <w:t xml:space="preserve">  联系电话：</w:t>
      </w:r>
    </w:p>
    <w:p w14:paraId="0C4BDD21">
      <w:pPr>
        <w:spacing w:line="480" w:lineRule="exact"/>
        <w:ind w:firstLine="210" w:firstLineChars="100"/>
        <w:rPr>
          <w:rFonts w:ascii="Arial" w:hAnsi="Arial" w:cs="Arial"/>
          <w:color w:val="000000"/>
          <w:szCs w:val="21"/>
          <w:highlight w:val="none"/>
        </w:rPr>
      </w:pPr>
      <w:r>
        <w:rPr>
          <w:rFonts w:ascii="Arial" w:hAnsi="Arial" w:cs="Arial"/>
          <w:color w:val="000000"/>
          <w:szCs w:val="21"/>
          <w:highlight w:val="none"/>
        </w:rPr>
        <w:t>营业执照号码：                         经济性质：</w:t>
      </w:r>
    </w:p>
    <w:p w14:paraId="48A4B0C7">
      <w:pPr>
        <w:spacing w:line="480" w:lineRule="exact"/>
        <w:ind w:firstLine="210" w:firstLineChars="100"/>
        <w:rPr>
          <w:rFonts w:ascii="Arial" w:hAnsi="Arial" w:cs="Arial"/>
          <w:color w:val="000000"/>
          <w:szCs w:val="21"/>
          <w:highlight w:val="none"/>
        </w:rPr>
      </w:pPr>
      <w:r>
        <w:rPr>
          <w:rFonts w:ascii="Arial" w:hAnsi="Arial" w:cs="Arial"/>
          <w:color w:val="000000"/>
          <w:szCs w:val="21"/>
          <w:highlight w:val="none"/>
        </w:rPr>
        <w:t>主营（产）：</w:t>
      </w:r>
    </w:p>
    <w:p w14:paraId="73C3B08D">
      <w:pPr>
        <w:spacing w:line="480" w:lineRule="exact"/>
        <w:ind w:firstLine="210" w:firstLineChars="100"/>
        <w:rPr>
          <w:rFonts w:ascii="Arial" w:hAnsi="Arial" w:cs="Arial"/>
          <w:color w:val="000000"/>
          <w:szCs w:val="21"/>
          <w:highlight w:val="none"/>
        </w:rPr>
      </w:pPr>
      <w:r>
        <w:rPr>
          <w:rFonts w:ascii="Arial" w:hAnsi="Arial" w:cs="Arial"/>
          <w:color w:val="000000"/>
          <w:szCs w:val="21"/>
          <w:highlight w:val="none"/>
        </w:rPr>
        <w:t>兼营（产）：</w:t>
      </w:r>
    </w:p>
    <w:p w14:paraId="3C8064E5">
      <w:pPr>
        <w:spacing w:line="480" w:lineRule="exact"/>
        <w:ind w:firstLine="210" w:firstLineChars="100"/>
        <w:rPr>
          <w:rFonts w:ascii="Arial" w:hAnsi="Arial" w:cs="Arial"/>
          <w:color w:val="000000"/>
          <w:szCs w:val="21"/>
          <w:highlight w:val="none"/>
        </w:rPr>
      </w:pPr>
      <w:r>
        <w:rPr>
          <w:rFonts w:ascii="Arial" w:hAnsi="Arial" w:cs="Arial"/>
          <w:color w:val="000000"/>
          <w:szCs w:val="21"/>
          <w:highlight w:val="none"/>
        </w:rPr>
        <w:t>进口物品经营许可证号码：</w:t>
      </w:r>
    </w:p>
    <w:p w14:paraId="74E34660">
      <w:pPr>
        <w:spacing w:line="480" w:lineRule="exact"/>
        <w:ind w:firstLine="210" w:firstLineChars="100"/>
        <w:rPr>
          <w:rFonts w:ascii="Arial" w:hAnsi="Arial" w:cs="Arial"/>
          <w:color w:val="000000"/>
          <w:szCs w:val="21"/>
          <w:highlight w:val="none"/>
        </w:rPr>
      </w:pPr>
      <w:r>
        <w:rPr>
          <w:rFonts w:ascii="Arial" w:hAnsi="Arial" w:cs="Arial"/>
          <w:color w:val="000000"/>
          <w:szCs w:val="21"/>
          <w:highlight w:val="none"/>
        </w:rPr>
        <w:t>主营：</w:t>
      </w:r>
    </w:p>
    <w:p w14:paraId="122ADDB6">
      <w:pPr>
        <w:spacing w:line="480" w:lineRule="exact"/>
        <w:ind w:firstLine="210" w:firstLineChars="100"/>
        <w:rPr>
          <w:rFonts w:ascii="Arial" w:hAnsi="Arial" w:cs="Arial"/>
          <w:color w:val="000000"/>
          <w:szCs w:val="21"/>
          <w:highlight w:val="none"/>
        </w:rPr>
      </w:pPr>
      <w:r>
        <w:rPr>
          <w:rFonts w:ascii="Arial" w:hAnsi="Arial" w:cs="Arial"/>
          <w:color w:val="000000"/>
          <w:szCs w:val="21"/>
          <w:highlight w:val="none"/>
        </w:rPr>
        <w:t>兼营：</w:t>
      </w:r>
    </w:p>
    <w:p w14:paraId="6080D561">
      <w:pPr>
        <w:spacing w:line="480" w:lineRule="exact"/>
        <w:rPr>
          <w:rFonts w:ascii="Arial" w:hAnsi="Arial" w:cs="Arial"/>
          <w:color w:val="000000"/>
          <w:szCs w:val="21"/>
          <w:highlight w:val="none"/>
        </w:rPr>
      </w:pPr>
      <w:r>
        <w:rPr>
          <w:rFonts w:ascii="Arial" w:hAnsi="Arial" w:cs="Arial"/>
          <w:color w:val="000000"/>
          <w:szCs w:val="21"/>
          <w:highlight w:val="none"/>
        </w:rPr>
        <w:t>说明：1.法定代表人为企业事业单位、国家机关、社会团体的主要行政负责人。</w:t>
      </w:r>
    </w:p>
    <w:p w14:paraId="46541220">
      <w:pPr>
        <w:spacing w:line="480" w:lineRule="exact"/>
        <w:rPr>
          <w:rFonts w:ascii="Arial" w:hAnsi="Arial" w:cs="Arial"/>
          <w:color w:val="000000"/>
          <w:szCs w:val="21"/>
          <w:highlight w:val="none"/>
        </w:rPr>
      </w:pPr>
      <w:r>
        <w:rPr>
          <w:rFonts w:ascii="Arial" w:hAnsi="Arial" w:cs="Arial"/>
          <w:color w:val="000000"/>
          <w:szCs w:val="21"/>
          <w:highlight w:val="none"/>
        </w:rPr>
        <w:t xml:space="preserve">      2.内容必须填写真实、清楚、涂改无效，不得转让、买卖。</w:t>
      </w:r>
    </w:p>
    <w:p w14:paraId="63EB2A07">
      <w:pPr>
        <w:spacing w:line="480" w:lineRule="exact"/>
        <w:ind w:firstLine="630" w:firstLineChars="300"/>
        <w:rPr>
          <w:rFonts w:ascii="Arial" w:hAnsi="Arial" w:cs="Arial"/>
          <w:b/>
          <w:color w:val="000000"/>
          <w:szCs w:val="21"/>
          <w:highlight w:val="none"/>
        </w:rPr>
      </w:pPr>
      <w:r>
        <w:rPr>
          <w:rFonts w:ascii="Arial" w:hAnsi="Arial" w:cs="Arial"/>
          <w:color w:val="000000"/>
          <w:szCs w:val="21"/>
          <w:highlight w:val="none"/>
        </w:rPr>
        <w:t>3.将此证明书提交对方作为合同附件</w:t>
      </w:r>
      <w:r>
        <w:rPr>
          <w:rFonts w:ascii="Arial" w:hAnsi="Arial" w:cs="Arial"/>
          <w:b/>
          <w:color w:val="000000"/>
          <w:szCs w:val="21"/>
          <w:highlight w:val="none"/>
        </w:rPr>
        <w:t>。</w:t>
      </w:r>
    </w:p>
    <w:p w14:paraId="6B32D276">
      <w:pPr>
        <w:spacing w:line="480" w:lineRule="exact"/>
        <w:ind w:firstLine="630" w:firstLineChars="300"/>
        <w:rPr>
          <w:rFonts w:ascii="Arial" w:hAnsi="Arial" w:cs="Arial"/>
          <w:color w:val="000000"/>
          <w:szCs w:val="21"/>
          <w:highlight w:val="none"/>
        </w:rPr>
      </w:pPr>
      <w:r>
        <w:rPr>
          <w:rFonts w:ascii="Arial" w:hAnsi="Arial" w:cs="Arial"/>
          <w:color w:val="000000"/>
          <w:szCs w:val="21"/>
          <w:highlight w:val="none"/>
        </w:rPr>
        <w:t>4.授权权限：全权代表本公司参与上述采购项目的投标，负责提供与签署确认一切文书资料，以及向贵方递交的任何补充承诺。</w:t>
      </w:r>
    </w:p>
    <w:p w14:paraId="04195A01">
      <w:pPr>
        <w:spacing w:line="440" w:lineRule="exact"/>
        <w:ind w:firstLine="644" w:firstLineChars="307"/>
        <w:rPr>
          <w:rFonts w:ascii="Arial" w:hAnsi="Arial" w:cs="Arial"/>
          <w:color w:val="000000"/>
          <w:szCs w:val="21"/>
          <w:highlight w:val="none"/>
        </w:rPr>
      </w:pPr>
      <w:r>
        <w:rPr>
          <w:rFonts w:ascii="Arial" w:hAnsi="Arial" w:cs="Arial"/>
          <w:color w:val="000000"/>
          <w:szCs w:val="21"/>
          <w:highlight w:val="none"/>
        </w:rPr>
        <w:t>5.有效期限：与本公司报价文件中标注的投标有效期相同，自本单位盖公章之日起生效。</w:t>
      </w:r>
    </w:p>
    <w:p w14:paraId="28E3DABA">
      <w:pPr>
        <w:spacing w:line="440" w:lineRule="exact"/>
        <w:ind w:firstLine="644" w:firstLineChars="307"/>
        <w:rPr>
          <w:rFonts w:ascii="Arial" w:hAnsi="Arial" w:cs="Arial"/>
          <w:color w:val="000000"/>
          <w:szCs w:val="21"/>
          <w:highlight w:val="none"/>
        </w:rPr>
      </w:pPr>
      <w:r>
        <w:rPr>
          <w:rFonts w:ascii="Arial" w:hAnsi="Arial" w:cs="Arial"/>
          <w:color w:val="000000"/>
          <w:szCs w:val="21"/>
          <w:highlight w:val="none"/>
        </w:rPr>
        <w:t>6.报价签字代表为法定代表人，则本表不适用。</w:t>
      </w:r>
    </w:p>
    <w:p w14:paraId="36B9D8FC">
      <w:pPr>
        <w:spacing w:line="440" w:lineRule="exact"/>
        <w:ind w:firstLine="644" w:firstLineChars="307"/>
        <w:rPr>
          <w:rFonts w:ascii="Arial" w:hAnsi="Arial" w:cs="Arial"/>
          <w:color w:val="000000"/>
          <w:szCs w:val="21"/>
          <w:highlight w:val="none"/>
        </w:rPr>
      </w:pPr>
      <w:r>
        <w:rPr>
          <w:rFonts w:ascii="Arial" w:hAnsi="Arial" w:cs="Arial"/>
          <w:color w:val="000000"/>
          <w:szCs w:val="21"/>
          <w:highlight w:val="none"/>
          <w:u w:val="single"/>
        </w:rPr>
        <w:pict>
          <v:shape id="AutoShape 6" o:spid="_x0000_s1033" o:spt="176" type="#_x0000_t176" style="position:absolute;left:0pt;margin-left:120.75pt;margin-top:16.1pt;height:124.75pt;width:183.75pt;z-index:251660288;mso-width-relative:page;mso-height-relative:page;" coordsize="21600,21600" o:gfxdata="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mv&#10;5dgAAAAKAQAADwAAAAAAAAABACAAAAAiAAAAZHJzL2Rvd25yZXYueG1sUEsBAhQAFAAAAAgAh07i&#10;QIVZiqvpAQAA9AMAAA4AAAAAAAAAAQAgAAAAJwEAAGRycy9lMm9Eb2MueG1sUEsFBgAAAAAGAAYA&#10;WQEAAIIFAAAAAA==&#10;">
            <v:path/>
            <v:fill focussize="0,0"/>
            <v:stroke joinstyle="miter"/>
            <v:imagedata o:title=""/>
            <o:lock v:ext="edit"/>
            <v:textbox>
              <w:txbxContent>
                <w:p w14:paraId="1CAA847C">
                  <w:pPr>
                    <w:jc w:val="center"/>
                    <w:rPr>
                      <w:rFonts w:hAnsi="宋体"/>
                      <w:szCs w:val="21"/>
                    </w:rPr>
                  </w:pPr>
                </w:p>
                <w:p w14:paraId="5A512BF8">
                  <w:pPr>
                    <w:jc w:val="center"/>
                    <w:rPr>
                      <w:rFonts w:hAnsi="宋体"/>
                      <w:szCs w:val="21"/>
                    </w:rPr>
                  </w:pPr>
                </w:p>
                <w:p w14:paraId="69BD32BF">
                  <w:pPr>
                    <w:jc w:val="center"/>
                    <w:rPr>
                      <w:rFonts w:hAnsi="宋体"/>
                      <w:szCs w:val="21"/>
                    </w:rPr>
                  </w:pPr>
                </w:p>
                <w:p w14:paraId="79E8390C">
                  <w:pPr>
                    <w:jc w:val="center"/>
                    <w:rPr>
                      <w:szCs w:val="21"/>
                    </w:rPr>
                  </w:pPr>
                  <w:r>
                    <w:rPr>
                      <w:rFonts w:hint="eastAsia" w:hAnsi="宋体"/>
                      <w:szCs w:val="21"/>
                    </w:rPr>
                    <w:t>代理人身份证复印件</w:t>
                  </w:r>
                </w:p>
              </w:txbxContent>
            </v:textbox>
          </v:shape>
        </w:pict>
      </w:r>
    </w:p>
    <w:p w14:paraId="7EBB0368">
      <w:pPr>
        <w:spacing w:line="300" w:lineRule="auto"/>
        <w:ind w:firstLine="105" w:firstLineChars="50"/>
        <w:rPr>
          <w:rFonts w:ascii="宋体" w:hAnsi="宋体"/>
          <w:color w:val="000000"/>
          <w:szCs w:val="21"/>
          <w:highlight w:val="none"/>
        </w:rPr>
      </w:pPr>
    </w:p>
    <w:p w14:paraId="2C30115D">
      <w:pPr>
        <w:spacing w:line="300" w:lineRule="auto"/>
        <w:ind w:firstLine="105" w:firstLineChars="50"/>
        <w:rPr>
          <w:rFonts w:ascii="宋体" w:hAnsi="宋体"/>
          <w:color w:val="000000"/>
          <w:szCs w:val="21"/>
          <w:highlight w:val="none"/>
        </w:rPr>
      </w:pPr>
    </w:p>
    <w:p w14:paraId="78ABC71E">
      <w:pPr>
        <w:spacing w:line="300" w:lineRule="auto"/>
        <w:ind w:firstLine="105" w:firstLineChars="50"/>
        <w:rPr>
          <w:rFonts w:ascii="宋体" w:hAnsi="宋体"/>
          <w:color w:val="000000"/>
          <w:szCs w:val="21"/>
          <w:highlight w:val="none"/>
        </w:rPr>
      </w:pPr>
    </w:p>
    <w:p w14:paraId="414762BA">
      <w:pPr>
        <w:spacing w:line="300" w:lineRule="auto"/>
        <w:ind w:firstLine="105" w:firstLineChars="50"/>
        <w:rPr>
          <w:rFonts w:ascii="宋体" w:hAnsi="宋体"/>
          <w:color w:val="000000"/>
          <w:szCs w:val="21"/>
          <w:highlight w:val="none"/>
        </w:rPr>
      </w:pPr>
    </w:p>
    <w:p w14:paraId="4823ED47">
      <w:pPr>
        <w:spacing w:line="300" w:lineRule="auto"/>
        <w:ind w:firstLine="105" w:firstLineChars="50"/>
        <w:rPr>
          <w:rFonts w:ascii="宋体" w:hAnsi="宋体"/>
          <w:color w:val="000000"/>
          <w:szCs w:val="21"/>
          <w:highlight w:val="none"/>
        </w:rPr>
      </w:pPr>
    </w:p>
    <w:p w14:paraId="52C08345">
      <w:pPr>
        <w:spacing w:line="300" w:lineRule="auto"/>
        <w:ind w:firstLine="105" w:firstLineChars="50"/>
        <w:rPr>
          <w:rFonts w:ascii="宋体" w:hAnsi="宋体"/>
          <w:color w:val="000000"/>
          <w:szCs w:val="21"/>
          <w:highlight w:val="none"/>
        </w:rPr>
      </w:pPr>
    </w:p>
    <w:p w14:paraId="5569F7F2">
      <w:pPr>
        <w:spacing w:line="300" w:lineRule="auto"/>
        <w:ind w:firstLine="105" w:firstLineChars="50"/>
        <w:rPr>
          <w:rFonts w:ascii="宋体" w:hAnsi="宋体"/>
          <w:color w:val="000000"/>
          <w:szCs w:val="21"/>
          <w:highlight w:val="none"/>
        </w:rPr>
      </w:pPr>
    </w:p>
    <w:p w14:paraId="755182DD">
      <w:pPr>
        <w:spacing w:line="300" w:lineRule="auto"/>
        <w:ind w:firstLine="105" w:firstLineChars="50"/>
        <w:rPr>
          <w:rFonts w:ascii="宋体" w:hAnsi="宋体"/>
          <w:color w:val="000000"/>
          <w:szCs w:val="21"/>
          <w:highlight w:val="none"/>
        </w:rPr>
      </w:pPr>
    </w:p>
    <w:p w14:paraId="3C729377">
      <w:pPr>
        <w:pStyle w:val="4"/>
        <w:rPr>
          <w:rFonts w:ascii="黑体"/>
          <w:color w:val="000000"/>
          <w:highlight w:val="none"/>
        </w:rPr>
        <w:sectPr>
          <w:footerReference r:id="rId20" w:type="default"/>
          <w:pgSz w:w="11906" w:h="16838"/>
          <w:pgMar w:top="936" w:right="1021" w:bottom="936" w:left="1021" w:header="737" w:footer="737" w:gutter="0"/>
          <w:cols w:space="720" w:num="1"/>
          <w:docGrid w:type="linesAndChars" w:linePitch="312" w:charSpace="0"/>
        </w:sectPr>
      </w:pPr>
      <w:bookmarkStart w:id="1155" w:name="_Toc334795487"/>
      <w:bookmarkStart w:id="1156" w:name="_Toc245819136"/>
    </w:p>
    <w:p w14:paraId="25777425">
      <w:pPr>
        <w:pStyle w:val="4"/>
        <w:rPr>
          <w:color w:val="000000"/>
          <w:sz w:val="24"/>
          <w:highlight w:val="none"/>
        </w:rPr>
      </w:pPr>
      <w:r>
        <w:rPr>
          <w:rFonts w:hint="eastAsia" w:ascii="黑体"/>
          <w:color w:val="000000"/>
          <w:highlight w:val="none"/>
        </w:rPr>
        <w:t xml:space="preserve">格式6  </w:t>
      </w:r>
      <w:r>
        <w:rPr>
          <w:rFonts w:hint="eastAsia"/>
          <w:color w:val="000000"/>
          <w:highlight w:val="none"/>
        </w:rPr>
        <w:t xml:space="preserve">               资格声明函</w:t>
      </w:r>
      <w:bookmarkEnd w:id="1155"/>
      <w:bookmarkEnd w:id="1156"/>
    </w:p>
    <w:p w14:paraId="4640E35D">
      <w:pPr>
        <w:spacing w:line="300" w:lineRule="auto"/>
        <w:rPr>
          <w:rFonts w:ascii="宋体" w:hAnsi="宋体"/>
          <w:b/>
          <w:color w:val="000000"/>
          <w:szCs w:val="21"/>
          <w:highlight w:val="none"/>
        </w:rPr>
      </w:pPr>
      <w:r>
        <w:rPr>
          <w:rFonts w:hint="eastAsia" w:ascii="宋体" w:hAnsi="宋体"/>
          <w:b/>
          <w:color w:val="000000"/>
          <w:szCs w:val="21"/>
          <w:highlight w:val="none"/>
        </w:rPr>
        <w:t>广东群升招标代理有限公司：</w:t>
      </w:r>
    </w:p>
    <w:p w14:paraId="60391CB4">
      <w:pPr>
        <w:spacing w:line="300" w:lineRule="auto"/>
        <w:ind w:firstLine="540"/>
        <w:rPr>
          <w:rFonts w:ascii="宋体" w:hAnsi="宋体"/>
          <w:color w:val="000000"/>
          <w:szCs w:val="21"/>
          <w:highlight w:val="none"/>
        </w:rPr>
      </w:pPr>
      <w:r>
        <w:rPr>
          <w:rFonts w:hint="eastAsia" w:ascii="宋体" w:hAnsi="宋体"/>
          <w:color w:val="000000"/>
          <w:szCs w:val="21"/>
          <w:highlight w:val="none"/>
        </w:rPr>
        <w:t>我方愿响应你方</w:t>
      </w:r>
      <w:r>
        <w:rPr>
          <w:rFonts w:hint="eastAsia" w:ascii="宋体" w:hAnsi="宋体" w:cs="宋体"/>
          <w:color w:val="000000"/>
          <w:kern w:val="0"/>
          <w:szCs w:val="21"/>
          <w:highlight w:val="none"/>
          <w:u w:val="single"/>
        </w:rPr>
        <w:t xml:space="preserve">     </w:t>
      </w:r>
      <w:r>
        <w:rPr>
          <w:rFonts w:hint="eastAsia" w:ascii="宋体" w:hAnsi="宋体" w:cs="宋体"/>
          <w:color w:val="000000"/>
          <w:kern w:val="0"/>
          <w:szCs w:val="21"/>
          <w:highlight w:val="none"/>
        </w:rPr>
        <w:t>年</w:t>
      </w:r>
      <w:r>
        <w:rPr>
          <w:rFonts w:hint="eastAsia" w:ascii="宋体" w:hAnsi="宋体" w:cs="宋体"/>
          <w:color w:val="000000"/>
          <w:kern w:val="0"/>
          <w:szCs w:val="21"/>
          <w:highlight w:val="none"/>
          <w:u w:val="single"/>
        </w:rPr>
        <w:t xml:space="preserve">     </w:t>
      </w:r>
      <w:r>
        <w:rPr>
          <w:rFonts w:hint="eastAsia" w:ascii="宋体" w:hAnsi="宋体" w:cs="宋体"/>
          <w:color w:val="000000"/>
          <w:kern w:val="0"/>
          <w:szCs w:val="21"/>
          <w:highlight w:val="none"/>
        </w:rPr>
        <w:t>月</w:t>
      </w:r>
      <w:r>
        <w:rPr>
          <w:rFonts w:hint="eastAsia" w:ascii="宋体" w:hAnsi="宋体" w:cs="宋体"/>
          <w:color w:val="000000"/>
          <w:kern w:val="0"/>
          <w:szCs w:val="21"/>
          <w:highlight w:val="none"/>
          <w:u w:val="single"/>
        </w:rPr>
        <w:t xml:space="preserve">     </w:t>
      </w:r>
      <w:r>
        <w:rPr>
          <w:rFonts w:hint="eastAsia" w:ascii="宋体" w:hAnsi="宋体" w:cs="宋体"/>
          <w:color w:val="000000"/>
          <w:kern w:val="0"/>
          <w:szCs w:val="21"/>
          <w:highlight w:val="none"/>
        </w:rPr>
        <w:t>日发布的</w:t>
      </w:r>
      <w:r>
        <w:rPr>
          <w:rFonts w:hint="eastAsia" w:ascii="宋体" w:hAnsi="宋体" w:cs="宋体"/>
          <w:color w:val="000000"/>
          <w:kern w:val="0"/>
          <w:szCs w:val="21"/>
          <w:highlight w:val="none"/>
          <w:u w:val="single"/>
        </w:rPr>
        <w:t xml:space="preserve">     项目</w:t>
      </w:r>
      <w:r>
        <w:rPr>
          <w:rFonts w:hint="eastAsia" w:ascii="宋体" w:hAnsi="宋体" w:cs="宋体"/>
          <w:color w:val="000000"/>
          <w:kern w:val="0"/>
          <w:szCs w:val="21"/>
          <w:highlight w:val="none"/>
        </w:rPr>
        <w:t>（项目编号：</w:t>
      </w:r>
      <w:r>
        <w:rPr>
          <w:rFonts w:hint="eastAsia" w:ascii="宋体" w:hAnsi="宋体" w:cs="宋体"/>
          <w:color w:val="000000"/>
          <w:kern w:val="0"/>
          <w:szCs w:val="21"/>
          <w:highlight w:val="none"/>
          <w:u w:val="single"/>
        </w:rPr>
        <w:t xml:space="preserve">         </w:t>
      </w:r>
      <w:r>
        <w:rPr>
          <w:rFonts w:hint="eastAsia" w:ascii="宋体" w:hAnsi="宋体" w:cs="宋体"/>
          <w:color w:val="000000"/>
          <w:kern w:val="0"/>
          <w:szCs w:val="21"/>
          <w:highlight w:val="none"/>
        </w:rPr>
        <w:t>）</w:t>
      </w:r>
      <w:r>
        <w:rPr>
          <w:rFonts w:hint="eastAsia" w:ascii="宋体" w:hAnsi="宋体"/>
          <w:color w:val="000000"/>
          <w:szCs w:val="21"/>
          <w:highlight w:val="none"/>
        </w:rPr>
        <w:t>投标邀请，参与投标，提供采购人需求中规定的全部内容，并按招标文件要求提交所附资格文件且声明和保证如下：</w:t>
      </w:r>
    </w:p>
    <w:p w14:paraId="320CF4D8">
      <w:pPr>
        <w:widowControl/>
        <w:numPr>
          <w:ilvl w:val="0"/>
          <w:numId w:val="14"/>
        </w:numPr>
        <w:spacing w:line="300" w:lineRule="auto"/>
        <w:jc w:val="left"/>
        <w:rPr>
          <w:rFonts w:ascii="宋体" w:hAnsi="宋体"/>
          <w:color w:val="000000"/>
          <w:szCs w:val="21"/>
          <w:highlight w:val="none"/>
        </w:rPr>
      </w:pPr>
      <w:r>
        <w:rPr>
          <w:rFonts w:hint="eastAsia" w:ascii="宋体" w:hAnsi="宋体"/>
          <w:color w:val="000000"/>
          <w:szCs w:val="21"/>
          <w:highlight w:val="none"/>
        </w:rPr>
        <w:t>我方为本次投标所提交的所有证明我方提供设计和服务合格和我方资格的文件是真实的和正确的，并愿为其真实性和正确性承担法律责任；核验我方提供相关复印件与原件不一致的，或我方无法提供原件的，采购人或采购代理机构有权取消我方投标或中标资格；提供给采购人的设计及服务与投标承诺一致。</w:t>
      </w:r>
    </w:p>
    <w:p w14:paraId="357B0D03">
      <w:pPr>
        <w:widowControl/>
        <w:numPr>
          <w:ilvl w:val="0"/>
          <w:numId w:val="14"/>
        </w:numPr>
        <w:spacing w:line="300" w:lineRule="auto"/>
        <w:jc w:val="left"/>
        <w:rPr>
          <w:rFonts w:ascii="宋体" w:hAnsi="宋体"/>
          <w:color w:val="000000"/>
          <w:szCs w:val="21"/>
          <w:highlight w:val="none"/>
        </w:rPr>
      </w:pPr>
      <w:r>
        <w:rPr>
          <w:rFonts w:hint="eastAsia" w:ascii="宋体" w:hAnsi="宋体"/>
          <w:color w:val="000000"/>
          <w:szCs w:val="21"/>
          <w:highlight w:val="none"/>
        </w:rPr>
        <w:t>我方在参与本次投标时，符合 《中华人民共和国</w:t>
      </w:r>
      <w:r>
        <w:rPr>
          <w:rFonts w:hint="eastAsia"/>
          <w:color w:val="000000"/>
          <w:szCs w:val="21"/>
          <w:highlight w:val="none"/>
        </w:rPr>
        <w:t>政府采购法》第二十二条投标人资格条件要求及其他法律法规规定要求。</w:t>
      </w:r>
    </w:p>
    <w:p w14:paraId="1087BF7B">
      <w:pPr>
        <w:widowControl/>
        <w:numPr>
          <w:ilvl w:val="0"/>
          <w:numId w:val="14"/>
        </w:numPr>
        <w:spacing w:line="300" w:lineRule="auto"/>
        <w:jc w:val="left"/>
        <w:rPr>
          <w:rFonts w:ascii="宋体" w:hAnsi="宋体"/>
          <w:color w:val="000000"/>
          <w:szCs w:val="21"/>
          <w:highlight w:val="none"/>
        </w:rPr>
      </w:pPr>
      <w:r>
        <w:rPr>
          <w:rFonts w:hint="eastAsia" w:ascii="宋体" w:hAnsi="宋体"/>
          <w:color w:val="000000"/>
          <w:szCs w:val="21"/>
          <w:highlight w:val="none"/>
        </w:rPr>
        <w:t>我方在参加本次投标近三年内，在经营活动及参与招标投标活动中没有重大违法活动及涉嫌违规行为，并没有因而被有关部门警告或处分的记录。</w:t>
      </w:r>
    </w:p>
    <w:p w14:paraId="2608E02A">
      <w:pPr>
        <w:widowControl/>
        <w:numPr>
          <w:ilvl w:val="0"/>
          <w:numId w:val="14"/>
        </w:numPr>
        <w:spacing w:line="300" w:lineRule="auto"/>
        <w:jc w:val="left"/>
        <w:rPr>
          <w:rFonts w:ascii="宋体" w:hAnsi="宋体"/>
          <w:color w:val="000000"/>
          <w:szCs w:val="21"/>
          <w:highlight w:val="none"/>
        </w:rPr>
      </w:pPr>
      <w:r>
        <w:rPr>
          <w:rFonts w:hint="eastAsia" w:ascii="宋体" w:hAnsi="宋体"/>
          <w:color w:val="000000"/>
          <w:szCs w:val="21"/>
          <w:highlight w:val="none"/>
        </w:rPr>
        <w:t>我方如中标，除不可抗力原因外，将在规定时间内与采购人签订合同。</w:t>
      </w:r>
    </w:p>
    <w:p w14:paraId="7FE694CC">
      <w:pPr>
        <w:spacing w:line="300" w:lineRule="auto"/>
        <w:ind w:firstLine="420" w:firstLineChars="200"/>
        <w:rPr>
          <w:rFonts w:ascii="宋体" w:hAnsi="宋体"/>
          <w:color w:val="000000"/>
          <w:szCs w:val="21"/>
          <w:highlight w:val="none"/>
        </w:rPr>
      </w:pPr>
      <w:r>
        <w:rPr>
          <w:rFonts w:hint="eastAsia" w:ascii="宋体" w:hAnsi="宋体"/>
          <w:color w:val="000000"/>
          <w:szCs w:val="21"/>
          <w:highlight w:val="none"/>
        </w:rPr>
        <w:t>如有违反上述声明之情形，采购人有权取消我方中标资格并提交相关监管部门处理。</w:t>
      </w:r>
    </w:p>
    <w:p w14:paraId="6F7192A8">
      <w:pPr>
        <w:spacing w:line="300" w:lineRule="auto"/>
        <w:ind w:firstLine="420" w:firstLineChars="200"/>
        <w:rPr>
          <w:rFonts w:ascii="宋体" w:hAnsi="宋体"/>
          <w:bCs/>
          <w:color w:val="000000"/>
          <w:szCs w:val="21"/>
          <w:highlight w:val="none"/>
        </w:rPr>
      </w:pPr>
    </w:p>
    <w:p w14:paraId="7C2D3295">
      <w:pPr>
        <w:spacing w:line="300" w:lineRule="auto"/>
        <w:ind w:firstLine="420" w:firstLineChars="200"/>
        <w:rPr>
          <w:rFonts w:ascii="宋体" w:hAnsi="宋体"/>
          <w:bCs/>
          <w:color w:val="000000"/>
          <w:szCs w:val="21"/>
          <w:highlight w:val="none"/>
        </w:rPr>
      </w:pPr>
      <w:r>
        <w:rPr>
          <w:rFonts w:hint="eastAsia" w:ascii="宋体" w:hAnsi="宋体"/>
          <w:bCs/>
          <w:color w:val="000000"/>
          <w:szCs w:val="21"/>
          <w:highlight w:val="none"/>
        </w:rPr>
        <w:t>投标人全称（加盖公章）:</w:t>
      </w:r>
    </w:p>
    <w:p w14:paraId="7FC5B397">
      <w:pPr>
        <w:spacing w:line="300" w:lineRule="auto"/>
        <w:ind w:firstLine="420" w:firstLineChars="200"/>
        <w:rPr>
          <w:rFonts w:ascii="宋体" w:hAnsi="宋体"/>
          <w:color w:val="000000"/>
          <w:szCs w:val="21"/>
          <w:highlight w:val="none"/>
        </w:rPr>
      </w:pPr>
      <w:r>
        <w:rPr>
          <w:rFonts w:hint="eastAsia" w:ascii="宋体" w:hAnsi="宋体"/>
          <w:bCs/>
          <w:color w:val="000000"/>
          <w:szCs w:val="21"/>
          <w:highlight w:val="none"/>
        </w:rPr>
        <w:t>法定代表人或其投标人授权代表(</w:t>
      </w:r>
      <w:r>
        <w:rPr>
          <w:rFonts w:hint="eastAsia" w:ascii="宋体" w:hAnsi="宋体"/>
          <w:color w:val="000000"/>
          <w:szCs w:val="21"/>
          <w:highlight w:val="none"/>
        </w:rPr>
        <w:t>签字</w:t>
      </w:r>
      <w:r>
        <w:rPr>
          <w:rFonts w:hint="eastAsia" w:ascii="宋体" w:hAnsi="宋体"/>
          <w:bCs/>
          <w:color w:val="000000"/>
          <w:szCs w:val="21"/>
          <w:highlight w:val="none"/>
        </w:rPr>
        <w:t>)：</w:t>
      </w:r>
      <w:r>
        <w:rPr>
          <w:rFonts w:hint="eastAsia" w:ascii="宋体" w:hAnsi="宋体"/>
          <w:color w:val="000000"/>
          <w:szCs w:val="21"/>
          <w:highlight w:val="none"/>
        </w:rPr>
        <w:t xml:space="preserve">                日    期：     年   月   日</w:t>
      </w:r>
    </w:p>
    <w:p w14:paraId="2F1E7512">
      <w:pPr>
        <w:spacing w:line="300" w:lineRule="auto"/>
        <w:rPr>
          <w:rFonts w:ascii="宋体" w:hAnsi="宋体"/>
          <w:color w:val="000000"/>
          <w:szCs w:val="21"/>
          <w:highlight w:val="none"/>
          <w:u w:val="single"/>
        </w:rPr>
      </w:pPr>
    </w:p>
    <w:p w14:paraId="3C310FFC">
      <w:pPr>
        <w:pStyle w:val="4"/>
        <w:rPr>
          <w:color w:val="000000"/>
          <w:highlight w:val="none"/>
        </w:rPr>
        <w:sectPr>
          <w:footerReference r:id="rId21" w:type="default"/>
          <w:pgSz w:w="11906" w:h="16838"/>
          <w:pgMar w:top="936" w:right="1021" w:bottom="936" w:left="1021" w:header="737" w:footer="737" w:gutter="0"/>
          <w:cols w:space="720" w:num="1"/>
          <w:docGrid w:type="linesAndChars" w:linePitch="312" w:charSpace="0"/>
        </w:sectPr>
      </w:pPr>
    </w:p>
    <w:p w14:paraId="40EBF911">
      <w:pPr>
        <w:rPr>
          <w:rFonts w:ascii="Arial" w:hAnsi="Arial" w:eastAsia="黑体"/>
          <w:b/>
          <w:bCs/>
          <w:sz w:val="32"/>
          <w:szCs w:val="32"/>
          <w:highlight w:val="none"/>
        </w:rPr>
      </w:pPr>
      <w:r>
        <w:rPr>
          <w:rFonts w:hint="eastAsia" w:ascii="Arial" w:hAnsi="Arial" w:eastAsia="黑体"/>
          <w:b/>
          <w:bCs/>
          <w:sz w:val="32"/>
          <w:szCs w:val="32"/>
          <w:highlight w:val="none"/>
        </w:rPr>
        <w:t>格式7               无商业贿赂承诺书</w:t>
      </w:r>
    </w:p>
    <w:p w14:paraId="78A3AD96">
      <w:pPr>
        <w:spacing w:line="360" w:lineRule="auto"/>
        <w:rPr>
          <w:rFonts w:ascii="宋体" w:hAnsi="宋体" w:cs="宋体"/>
          <w:szCs w:val="21"/>
          <w:highlight w:val="none"/>
        </w:rPr>
      </w:pPr>
      <w:r>
        <w:rPr>
          <w:rFonts w:hint="eastAsia" w:ascii="宋体" w:hAnsi="宋体" w:cs="宋体"/>
          <w:szCs w:val="21"/>
          <w:highlight w:val="none"/>
        </w:rPr>
        <w:t>广东潮阳农村商业银行股份有限公司：</w:t>
      </w:r>
    </w:p>
    <w:p w14:paraId="059E17D7">
      <w:pPr>
        <w:spacing w:line="360" w:lineRule="auto"/>
        <w:ind w:firstLine="420" w:firstLineChars="200"/>
        <w:rPr>
          <w:rFonts w:ascii="宋体" w:hAnsi="宋体" w:cs="宋体"/>
          <w:szCs w:val="21"/>
          <w:highlight w:val="none"/>
        </w:rPr>
      </w:pPr>
      <w:r>
        <w:rPr>
          <w:rFonts w:hint="eastAsia" w:ascii="宋体" w:hAnsi="宋体" w:cs="宋体"/>
          <w:szCs w:val="21"/>
          <w:highlight w:val="none"/>
        </w:rPr>
        <w:t>在              项目采购活动中，我司郑重承诺：</w:t>
      </w:r>
    </w:p>
    <w:p w14:paraId="5AC9C321">
      <w:pPr>
        <w:spacing w:line="360" w:lineRule="auto"/>
        <w:ind w:firstLine="420" w:firstLineChars="200"/>
        <w:rPr>
          <w:rFonts w:ascii="宋体" w:hAnsi="宋体" w:cs="宋体"/>
          <w:szCs w:val="21"/>
          <w:highlight w:val="none"/>
        </w:rPr>
      </w:pPr>
      <w:r>
        <w:rPr>
          <w:rFonts w:hint="eastAsia" w:ascii="宋体" w:hAnsi="宋体" w:cs="宋体"/>
          <w:szCs w:val="21"/>
          <w:highlight w:val="none"/>
        </w:rPr>
        <w:t>一、严格遵守《中华人民共和国反不正当竞争》、《刑法》等有关禁止商业贿赂行为规定，遵循“守法、诚信、公正、科学”的原则，坚决拒绝商业贿赂、行贿及其他不正当商业行为。</w:t>
      </w:r>
    </w:p>
    <w:p w14:paraId="00ED6770">
      <w:pPr>
        <w:spacing w:line="360" w:lineRule="auto"/>
        <w:ind w:firstLine="420" w:firstLineChars="200"/>
        <w:rPr>
          <w:rFonts w:ascii="宋体" w:hAnsi="宋体" w:cs="宋体"/>
          <w:szCs w:val="21"/>
          <w:highlight w:val="none"/>
        </w:rPr>
      </w:pPr>
      <w:r>
        <w:rPr>
          <w:rFonts w:hint="eastAsia" w:ascii="宋体" w:hAnsi="宋体" w:cs="宋体"/>
          <w:szCs w:val="21"/>
          <w:highlight w:val="none"/>
        </w:rPr>
        <w:t>二、在采购活动中，不弄虚作假，不提供虚假资质文件，不采取不正当手段诋毁、排挤其他供应商，自觉遵守买方有关规定，保证价格诚信、履约诚信、服务诚信。</w:t>
      </w:r>
    </w:p>
    <w:p w14:paraId="7365DBA8">
      <w:pPr>
        <w:spacing w:line="360" w:lineRule="auto"/>
        <w:ind w:firstLine="645"/>
        <w:rPr>
          <w:rFonts w:ascii="宋体" w:hAnsi="宋体" w:cs="宋体"/>
          <w:szCs w:val="21"/>
          <w:highlight w:val="none"/>
        </w:rPr>
      </w:pPr>
      <w:r>
        <w:rPr>
          <w:rFonts w:hint="eastAsia" w:ascii="宋体" w:hAnsi="宋体" w:cs="宋体"/>
          <w:szCs w:val="21"/>
          <w:highlight w:val="none"/>
        </w:rPr>
        <w:t>三、杜绝向买方进行任何形式的商业贿赂行为（包括但不限于）：</w:t>
      </w:r>
    </w:p>
    <w:p w14:paraId="70BF25DB">
      <w:pPr>
        <w:spacing w:line="360" w:lineRule="auto"/>
        <w:ind w:firstLine="420" w:firstLineChars="200"/>
        <w:rPr>
          <w:rFonts w:ascii="宋体" w:hAnsi="宋体" w:cs="宋体"/>
          <w:szCs w:val="21"/>
          <w:highlight w:val="none"/>
        </w:rPr>
      </w:pPr>
      <w:r>
        <w:rPr>
          <w:rFonts w:hint="eastAsia" w:ascii="宋体" w:hAnsi="宋体" w:cs="宋体"/>
          <w:szCs w:val="21"/>
          <w:highlight w:val="none"/>
        </w:rPr>
        <w:t>(一)不得以任何理由向买方相关人员行贿或馈赠礼金、有价证券、贵重礼品。</w:t>
      </w:r>
    </w:p>
    <w:p w14:paraId="0E143D5B">
      <w:pPr>
        <w:spacing w:line="360" w:lineRule="auto"/>
        <w:ind w:firstLine="420" w:firstLineChars="200"/>
        <w:rPr>
          <w:rFonts w:ascii="宋体" w:hAnsi="宋体" w:cs="宋体"/>
          <w:szCs w:val="21"/>
          <w:highlight w:val="none"/>
        </w:rPr>
      </w:pPr>
      <w:r>
        <w:rPr>
          <w:rFonts w:hint="eastAsia" w:ascii="宋体" w:hAnsi="宋体" w:cs="宋体"/>
          <w:szCs w:val="21"/>
          <w:highlight w:val="none"/>
        </w:rPr>
        <w:t>（二）不得以任何名义为买方相关人员报销应由买方或其工作人员个人支付的任何费用。</w:t>
      </w:r>
    </w:p>
    <w:p w14:paraId="499FB047">
      <w:pPr>
        <w:spacing w:line="360" w:lineRule="auto"/>
        <w:ind w:firstLine="420" w:firstLineChars="200"/>
        <w:rPr>
          <w:rFonts w:ascii="宋体" w:hAnsi="宋体" w:cs="宋体"/>
          <w:szCs w:val="21"/>
          <w:highlight w:val="none"/>
        </w:rPr>
      </w:pPr>
      <w:r>
        <w:rPr>
          <w:rFonts w:hint="eastAsia" w:ascii="宋体" w:hAnsi="宋体" w:cs="宋体"/>
          <w:szCs w:val="21"/>
          <w:highlight w:val="none"/>
        </w:rPr>
        <w:t>（三）不得以任何理由安排买方相关人员参加宴请（工作餐除外,现行标准不高于50元/人）及娱乐活动。</w:t>
      </w:r>
    </w:p>
    <w:p w14:paraId="5C077FB3">
      <w:pPr>
        <w:spacing w:line="360" w:lineRule="auto"/>
        <w:ind w:firstLine="420" w:firstLineChars="200"/>
        <w:rPr>
          <w:rFonts w:ascii="宋体" w:hAnsi="宋体" w:cs="宋体"/>
          <w:szCs w:val="21"/>
          <w:highlight w:val="none"/>
        </w:rPr>
      </w:pPr>
      <w:r>
        <w:rPr>
          <w:rFonts w:hint="eastAsia" w:ascii="宋体" w:hAnsi="宋体" w:cs="宋体"/>
          <w:szCs w:val="21"/>
          <w:highlight w:val="none"/>
        </w:rPr>
        <w:t>（四）不得为买方相关人员购置或提供通讯、交通工具和高档办公用品等物品。</w:t>
      </w:r>
    </w:p>
    <w:p w14:paraId="1BFAC5BB">
      <w:pPr>
        <w:spacing w:line="360" w:lineRule="auto"/>
        <w:ind w:firstLine="420" w:firstLineChars="200"/>
        <w:rPr>
          <w:rFonts w:ascii="宋体" w:hAnsi="宋体" w:cs="宋体"/>
          <w:szCs w:val="21"/>
          <w:highlight w:val="none"/>
        </w:rPr>
      </w:pPr>
      <w:r>
        <w:rPr>
          <w:rFonts w:hint="eastAsia" w:ascii="宋体" w:hAnsi="宋体" w:cs="宋体"/>
          <w:szCs w:val="21"/>
          <w:highlight w:val="none"/>
        </w:rPr>
        <w:t>（五）不得为买方相关人员的住房装修、婚丧嫁娶活动、配偶子女工作安排以及出国出境、旅游等提供方便。</w:t>
      </w:r>
    </w:p>
    <w:p w14:paraId="7F6EA721">
      <w:pPr>
        <w:spacing w:line="360" w:lineRule="auto"/>
        <w:ind w:firstLine="420" w:firstLineChars="200"/>
        <w:rPr>
          <w:rFonts w:ascii="宋体" w:hAnsi="宋体" w:cs="宋体"/>
          <w:szCs w:val="21"/>
          <w:highlight w:val="none"/>
        </w:rPr>
      </w:pPr>
      <w:r>
        <w:rPr>
          <w:rFonts w:hint="eastAsia" w:ascii="宋体" w:hAnsi="宋体" w:cs="宋体"/>
          <w:szCs w:val="21"/>
          <w:highlight w:val="none"/>
        </w:rPr>
        <w:t>（六）不得为买方相关人员提供明显低于市场价格的商品或者服务。</w:t>
      </w:r>
    </w:p>
    <w:p w14:paraId="565008F1">
      <w:pPr>
        <w:spacing w:line="360" w:lineRule="auto"/>
        <w:ind w:firstLine="420" w:firstLineChars="200"/>
        <w:rPr>
          <w:rFonts w:ascii="宋体" w:hAnsi="宋体" w:cs="宋体"/>
          <w:szCs w:val="21"/>
          <w:highlight w:val="none"/>
        </w:rPr>
      </w:pPr>
      <w:r>
        <w:rPr>
          <w:rFonts w:hint="eastAsia" w:ascii="宋体" w:hAnsi="宋体" w:cs="宋体"/>
          <w:szCs w:val="21"/>
          <w:highlight w:val="none"/>
        </w:rPr>
        <w:t>四、严格按合同履约，为买方提供符合质量标准规定的货物、服务。不销售冒牌、走私货物；不擅自变更或终止、转让、转包买方采购合同。</w:t>
      </w:r>
    </w:p>
    <w:p w14:paraId="5040E8D0">
      <w:pPr>
        <w:spacing w:line="360" w:lineRule="auto"/>
        <w:ind w:firstLine="420" w:firstLineChars="200"/>
        <w:rPr>
          <w:rFonts w:ascii="宋体" w:hAnsi="宋体" w:cs="宋体"/>
          <w:szCs w:val="21"/>
          <w:highlight w:val="none"/>
        </w:rPr>
      </w:pPr>
      <w:r>
        <w:rPr>
          <w:rFonts w:hint="eastAsia" w:ascii="宋体" w:hAnsi="宋体" w:cs="宋体"/>
          <w:szCs w:val="21"/>
          <w:highlight w:val="none"/>
        </w:rPr>
        <w:t>五、对于项目的采购内容或其他信息，均有责任保密，不向任何第三方披漏或泄露。</w:t>
      </w:r>
    </w:p>
    <w:p w14:paraId="64E22B7B">
      <w:pPr>
        <w:spacing w:line="360" w:lineRule="auto"/>
        <w:ind w:firstLine="420" w:firstLineChars="200"/>
        <w:rPr>
          <w:rFonts w:ascii="宋体" w:hAnsi="宋体" w:cs="宋体"/>
          <w:szCs w:val="21"/>
          <w:highlight w:val="none"/>
        </w:rPr>
      </w:pPr>
      <w:r>
        <w:rPr>
          <w:rFonts w:hint="eastAsia" w:ascii="宋体" w:hAnsi="宋体" w:cs="宋体"/>
          <w:szCs w:val="21"/>
          <w:highlight w:val="none"/>
        </w:rPr>
        <w:t>我司将严格遵守上述承诺事项，如有违反以上任一条款的，自愿接受买方以下方式处理并承诺不提出任何异议或主张：</w:t>
      </w:r>
    </w:p>
    <w:p w14:paraId="0B939D28">
      <w:pPr>
        <w:spacing w:line="360" w:lineRule="auto"/>
        <w:ind w:firstLine="420" w:firstLineChars="200"/>
        <w:rPr>
          <w:rFonts w:ascii="宋体" w:hAnsi="宋体" w:cs="宋体"/>
          <w:szCs w:val="21"/>
          <w:highlight w:val="none"/>
        </w:rPr>
      </w:pPr>
      <w:r>
        <w:rPr>
          <w:rFonts w:hint="eastAsia" w:ascii="宋体" w:hAnsi="宋体" w:cs="宋体"/>
          <w:szCs w:val="21"/>
          <w:highlight w:val="none"/>
        </w:rPr>
        <w:t>（一）取消我司该项目的中标资格；</w:t>
      </w:r>
    </w:p>
    <w:p w14:paraId="093133B6">
      <w:pPr>
        <w:spacing w:line="360" w:lineRule="auto"/>
        <w:ind w:firstLine="420" w:firstLineChars="200"/>
        <w:rPr>
          <w:rFonts w:ascii="宋体" w:hAnsi="宋体" w:cs="宋体"/>
          <w:szCs w:val="21"/>
          <w:highlight w:val="none"/>
        </w:rPr>
      </w:pPr>
      <w:r>
        <w:rPr>
          <w:rFonts w:hint="eastAsia" w:ascii="宋体" w:hAnsi="宋体" w:cs="宋体"/>
          <w:szCs w:val="21"/>
          <w:highlight w:val="none"/>
        </w:rPr>
        <w:t>（二）没收投标保证金或合同履约保证金；</w:t>
      </w:r>
    </w:p>
    <w:p w14:paraId="673B702C">
      <w:pPr>
        <w:spacing w:line="360" w:lineRule="auto"/>
        <w:ind w:firstLine="420" w:firstLineChars="200"/>
        <w:rPr>
          <w:rFonts w:ascii="宋体" w:hAnsi="宋体" w:cs="宋体"/>
          <w:szCs w:val="21"/>
          <w:highlight w:val="none"/>
        </w:rPr>
      </w:pPr>
      <w:r>
        <w:rPr>
          <w:rFonts w:hint="eastAsia" w:ascii="宋体" w:hAnsi="宋体" w:cs="宋体"/>
          <w:szCs w:val="21"/>
          <w:highlight w:val="none"/>
        </w:rPr>
        <w:t>（三）赔偿一切给买方造成的间接和直接损失；</w:t>
      </w:r>
    </w:p>
    <w:p w14:paraId="76FE893A">
      <w:pPr>
        <w:spacing w:line="360" w:lineRule="auto"/>
        <w:ind w:firstLine="420" w:firstLineChars="200"/>
        <w:rPr>
          <w:rFonts w:ascii="宋体" w:hAnsi="宋体" w:cs="宋体"/>
          <w:szCs w:val="21"/>
          <w:highlight w:val="none"/>
        </w:rPr>
      </w:pPr>
      <w:r>
        <w:rPr>
          <w:rFonts w:hint="eastAsia" w:ascii="宋体" w:hAnsi="宋体" w:cs="宋体"/>
          <w:szCs w:val="21"/>
          <w:highlight w:val="none"/>
        </w:rPr>
        <w:t>（四）由此引起的一切法律责任。</w:t>
      </w:r>
    </w:p>
    <w:p w14:paraId="65AF84EE">
      <w:pPr>
        <w:spacing w:line="360" w:lineRule="auto"/>
        <w:ind w:firstLine="420" w:firstLineChars="200"/>
        <w:rPr>
          <w:rFonts w:ascii="宋体" w:hAnsi="宋体" w:cs="宋体"/>
          <w:szCs w:val="21"/>
          <w:highlight w:val="none"/>
        </w:rPr>
      </w:pPr>
      <w:r>
        <w:rPr>
          <w:rFonts w:hint="eastAsia" w:ascii="宋体" w:hAnsi="宋体" w:cs="宋体"/>
          <w:szCs w:val="21"/>
          <w:highlight w:val="none"/>
        </w:rPr>
        <w:t>本承诺书作为合同附件，在双方合作期间长期有效。</w:t>
      </w:r>
    </w:p>
    <w:p w14:paraId="74277E38">
      <w:pPr>
        <w:spacing w:line="360" w:lineRule="auto"/>
        <w:ind w:firstLine="420" w:firstLineChars="200"/>
        <w:rPr>
          <w:rFonts w:ascii="宋体" w:hAnsi="宋体" w:cs="宋体"/>
          <w:szCs w:val="21"/>
          <w:highlight w:val="none"/>
        </w:rPr>
      </w:pPr>
      <w:r>
        <w:rPr>
          <w:rFonts w:hint="eastAsia" w:ascii="宋体" w:hAnsi="宋体" w:cs="宋体"/>
          <w:szCs w:val="21"/>
          <w:highlight w:val="none"/>
        </w:rPr>
        <w:t>特此承诺！</w:t>
      </w:r>
    </w:p>
    <w:p w14:paraId="2254979C">
      <w:pPr>
        <w:tabs>
          <w:tab w:val="left" w:pos="5235"/>
        </w:tabs>
        <w:spacing w:line="360" w:lineRule="auto"/>
        <w:rPr>
          <w:rFonts w:ascii="宋体" w:hAnsi="宋体" w:cs="宋体"/>
          <w:szCs w:val="21"/>
          <w:highlight w:val="none"/>
        </w:rPr>
      </w:pPr>
    </w:p>
    <w:p w14:paraId="553139F7">
      <w:pPr>
        <w:tabs>
          <w:tab w:val="left" w:pos="5235"/>
        </w:tabs>
        <w:spacing w:line="360" w:lineRule="auto"/>
        <w:jc w:val="right"/>
        <w:rPr>
          <w:rFonts w:ascii="宋体" w:hAnsi="宋体" w:cs="宋体"/>
          <w:szCs w:val="21"/>
          <w:highlight w:val="none"/>
        </w:rPr>
      </w:pPr>
      <w:r>
        <w:rPr>
          <w:rFonts w:hint="eastAsia" w:ascii="宋体" w:hAnsi="宋体" w:cs="宋体"/>
          <w:szCs w:val="21"/>
          <w:highlight w:val="none"/>
        </w:rPr>
        <w:t>承诺人：        （公司公章）</w:t>
      </w:r>
    </w:p>
    <w:p w14:paraId="3660A96E">
      <w:pPr>
        <w:tabs>
          <w:tab w:val="left" w:pos="6455"/>
          <w:tab w:val="left" w:pos="6530"/>
          <w:tab w:val="left" w:pos="7125"/>
          <w:tab w:val="right" w:pos="8306"/>
        </w:tabs>
        <w:spacing w:line="360" w:lineRule="auto"/>
        <w:ind w:firstLine="420" w:firstLineChars="200"/>
        <w:jc w:val="right"/>
        <w:rPr>
          <w:rFonts w:ascii="宋体" w:hAnsi="宋体" w:cs="宋体"/>
          <w:szCs w:val="21"/>
          <w:highlight w:val="none"/>
        </w:rPr>
      </w:pPr>
    </w:p>
    <w:p w14:paraId="56519B63">
      <w:pPr>
        <w:tabs>
          <w:tab w:val="left" w:pos="6455"/>
          <w:tab w:val="left" w:pos="6530"/>
          <w:tab w:val="left" w:pos="7125"/>
          <w:tab w:val="right" w:pos="8306"/>
        </w:tabs>
        <w:spacing w:line="360" w:lineRule="auto"/>
        <w:ind w:firstLine="420" w:firstLineChars="200"/>
        <w:jc w:val="right"/>
        <w:rPr>
          <w:highlight w:val="none"/>
        </w:rPr>
      </w:pPr>
      <w:r>
        <w:rPr>
          <w:rFonts w:hint="eastAsia" w:ascii="宋体" w:hAnsi="宋体" w:cs="宋体"/>
          <w:szCs w:val="21"/>
          <w:highlight w:val="none"/>
        </w:rPr>
        <w:t>年   月   日</w:t>
      </w:r>
    </w:p>
    <w:p w14:paraId="400B38E5">
      <w:pPr>
        <w:pStyle w:val="4"/>
        <w:rPr>
          <w:rFonts w:ascii="黑体"/>
          <w:color w:val="000000"/>
          <w:highlight w:val="none"/>
        </w:rPr>
      </w:pPr>
      <w:r>
        <w:rPr>
          <w:rFonts w:hint="eastAsia"/>
          <w:color w:val="000000"/>
          <w:highlight w:val="none"/>
        </w:rPr>
        <w:t>格式8               实质性条款响应一览表</w:t>
      </w:r>
    </w:p>
    <w:p w14:paraId="5FE4FEB4">
      <w:pPr>
        <w:spacing w:line="360" w:lineRule="auto"/>
        <w:rPr>
          <w:rFonts w:ascii="Arial Unicode MS" w:hAnsi="Arial Unicode MS" w:eastAsia="Arial Unicode MS" w:cs="Arial Unicode MS"/>
          <w:bCs/>
          <w:color w:val="000000"/>
          <w:szCs w:val="21"/>
          <w:highlight w:val="none"/>
        </w:rPr>
      </w:pPr>
      <w:r>
        <w:rPr>
          <w:rFonts w:hint="eastAsia" w:ascii="宋体" w:hAnsi="宋体" w:cs="Tahoma"/>
          <w:color w:val="000000"/>
          <w:szCs w:val="21"/>
          <w:highlight w:val="none"/>
        </w:rPr>
        <w:t>项目名称</w:t>
      </w:r>
      <w:r>
        <w:rPr>
          <w:rFonts w:hint="eastAsia" w:ascii="宋体" w:hAnsi="宋体" w:cs="Tahoma"/>
          <w:color w:val="000000"/>
          <w:kern w:val="28"/>
          <w:szCs w:val="21"/>
          <w:highlight w:val="none"/>
        </w:rPr>
        <w:t xml:space="preserve">：                                            </w:t>
      </w:r>
      <w:r>
        <w:rPr>
          <w:rFonts w:ascii="宋体" w:hAnsi="宋体" w:cs="Tahoma"/>
          <w:color w:val="000000"/>
          <w:szCs w:val="21"/>
          <w:highlight w:val="none"/>
        </w:rPr>
        <w:t>项目编号：</w:t>
      </w:r>
      <w:r>
        <w:rPr>
          <w:rFonts w:hint="eastAsia" w:ascii="宋体" w:hAnsi="宋体"/>
          <w:color w:val="000000"/>
          <w:szCs w:val="21"/>
          <w:highlight w:val="none"/>
        </w:rPr>
        <w:t xml:space="preserve"> </w:t>
      </w:r>
      <w:r>
        <w:rPr>
          <w:rFonts w:hint="eastAsia" w:ascii="Arial Unicode MS" w:hAnsi="Arial Unicode MS" w:eastAsia="Arial Unicode MS" w:cs="Arial Unicode MS"/>
          <w:bCs/>
          <w:color w:val="000000"/>
          <w:szCs w:val="21"/>
          <w:highlight w:val="none"/>
        </w:rPr>
        <w:t xml:space="preserve">           </w:t>
      </w:r>
      <w:r>
        <w:rPr>
          <w:rFonts w:hint="eastAsia" w:ascii="宋体" w:hAnsi="宋体"/>
          <w:bCs/>
          <w:color w:val="000000"/>
          <w:szCs w:val="21"/>
          <w:highlight w:val="none"/>
        </w:rPr>
        <w:t xml:space="preserve">  </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3303"/>
        <w:gridCol w:w="1800"/>
        <w:gridCol w:w="1904"/>
        <w:gridCol w:w="1364"/>
      </w:tblGrid>
      <w:tr w14:paraId="29BFF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804" w:type="dxa"/>
            <w:vAlign w:val="center"/>
          </w:tcPr>
          <w:p w14:paraId="2BBB0A63">
            <w:pPr>
              <w:rPr>
                <w:color w:val="000000"/>
                <w:highlight w:val="none"/>
              </w:rPr>
            </w:pPr>
            <w:r>
              <w:rPr>
                <w:rFonts w:hint="eastAsia"/>
                <w:color w:val="000000"/>
                <w:highlight w:val="none"/>
              </w:rPr>
              <w:t>序号</w:t>
            </w:r>
          </w:p>
        </w:tc>
        <w:tc>
          <w:tcPr>
            <w:tcW w:w="3303" w:type="dxa"/>
            <w:tcBorders>
              <w:left w:val="single" w:color="000000" w:sz="4" w:space="0"/>
            </w:tcBorders>
            <w:vAlign w:val="center"/>
          </w:tcPr>
          <w:p w14:paraId="2F27A437">
            <w:pPr>
              <w:rPr>
                <w:color w:val="000000"/>
                <w:highlight w:val="none"/>
              </w:rPr>
            </w:pPr>
            <w:r>
              <w:rPr>
                <w:rFonts w:hint="eastAsia"/>
                <w:color w:val="000000"/>
                <w:highlight w:val="none"/>
              </w:rPr>
              <w:t>带“★”号响应内容</w:t>
            </w:r>
          </w:p>
        </w:tc>
        <w:tc>
          <w:tcPr>
            <w:tcW w:w="1800" w:type="dxa"/>
            <w:vAlign w:val="center"/>
          </w:tcPr>
          <w:p w14:paraId="2ABCF686">
            <w:pPr>
              <w:rPr>
                <w:color w:val="000000"/>
                <w:highlight w:val="none"/>
              </w:rPr>
            </w:pPr>
            <w:r>
              <w:rPr>
                <w:rFonts w:hint="eastAsia"/>
                <w:color w:val="000000"/>
                <w:highlight w:val="none"/>
              </w:rPr>
              <w:t>是否响应</w:t>
            </w:r>
          </w:p>
        </w:tc>
        <w:tc>
          <w:tcPr>
            <w:tcW w:w="1904" w:type="dxa"/>
            <w:vAlign w:val="center"/>
          </w:tcPr>
          <w:p w14:paraId="1593BF77">
            <w:pPr>
              <w:rPr>
                <w:color w:val="000000"/>
                <w:highlight w:val="none"/>
              </w:rPr>
            </w:pPr>
            <w:r>
              <w:rPr>
                <w:rFonts w:hint="eastAsia"/>
                <w:color w:val="000000"/>
                <w:highlight w:val="none"/>
              </w:rPr>
              <w:t>偏离说明</w:t>
            </w:r>
          </w:p>
        </w:tc>
        <w:tc>
          <w:tcPr>
            <w:tcW w:w="1364" w:type="dxa"/>
            <w:vAlign w:val="center"/>
          </w:tcPr>
          <w:p w14:paraId="2FD3E913">
            <w:pPr>
              <w:rPr>
                <w:color w:val="000000"/>
                <w:highlight w:val="none"/>
              </w:rPr>
            </w:pPr>
            <w:r>
              <w:rPr>
                <w:rFonts w:hint="eastAsia"/>
                <w:color w:val="000000"/>
                <w:highlight w:val="none"/>
              </w:rPr>
              <w:t>响应页码</w:t>
            </w:r>
          </w:p>
        </w:tc>
      </w:tr>
      <w:tr w14:paraId="40DD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04" w:type="dxa"/>
            <w:vAlign w:val="center"/>
          </w:tcPr>
          <w:p w14:paraId="2F3B7530">
            <w:pPr>
              <w:rPr>
                <w:color w:val="000000"/>
                <w:highlight w:val="none"/>
              </w:rPr>
            </w:pPr>
            <w:r>
              <w:rPr>
                <w:rFonts w:hint="eastAsia"/>
                <w:color w:val="000000"/>
                <w:highlight w:val="none"/>
              </w:rPr>
              <w:t>1</w:t>
            </w:r>
          </w:p>
        </w:tc>
        <w:tc>
          <w:tcPr>
            <w:tcW w:w="3303" w:type="dxa"/>
            <w:tcBorders>
              <w:left w:val="single" w:color="000000" w:sz="4" w:space="0"/>
            </w:tcBorders>
            <w:vAlign w:val="center"/>
          </w:tcPr>
          <w:p w14:paraId="6227D108">
            <w:pPr>
              <w:rPr>
                <w:color w:val="000000"/>
                <w:highlight w:val="none"/>
              </w:rPr>
            </w:pPr>
            <w:r>
              <w:rPr>
                <w:rFonts w:hint="eastAsia"/>
                <w:color w:val="000000"/>
                <w:highlight w:val="none"/>
              </w:rPr>
              <w:t>合格投标人资格要求</w:t>
            </w:r>
          </w:p>
        </w:tc>
        <w:tc>
          <w:tcPr>
            <w:tcW w:w="1800" w:type="dxa"/>
          </w:tcPr>
          <w:p w14:paraId="19EF488A">
            <w:pPr>
              <w:rPr>
                <w:color w:val="000000"/>
                <w:highlight w:val="none"/>
              </w:rPr>
            </w:pPr>
          </w:p>
        </w:tc>
        <w:tc>
          <w:tcPr>
            <w:tcW w:w="1904" w:type="dxa"/>
          </w:tcPr>
          <w:p w14:paraId="472F8936">
            <w:pPr>
              <w:rPr>
                <w:color w:val="000000"/>
                <w:highlight w:val="none"/>
              </w:rPr>
            </w:pPr>
          </w:p>
        </w:tc>
        <w:tc>
          <w:tcPr>
            <w:tcW w:w="1364" w:type="dxa"/>
          </w:tcPr>
          <w:p w14:paraId="57E98A04">
            <w:pPr>
              <w:rPr>
                <w:color w:val="000000"/>
                <w:highlight w:val="none"/>
              </w:rPr>
            </w:pPr>
          </w:p>
        </w:tc>
      </w:tr>
      <w:tr w14:paraId="3967A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804" w:type="dxa"/>
            <w:vAlign w:val="center"/>
          </w:tcPr>
          <w:p w14:paraId="4B301FB9">
            <w:pPr>
              <w:rPr>
                <w:color w:val="000000"/>
                <w:highlight w:val="none"/>
              </w:rPr>
            </w:pPr>
            <w:r>
              <w:rPr>
                <w:rFonts w:hint="eastAsia"/>
                <w:color w:val="000000"/>
                <w:highlight w:val="none"/>
              </w:rPr>
              <w:t>2</w:t>
            </w:r>
          </w:p>
        </w:tc>
        <w:tc>
          <w:tcPr>
            <w:tcW w:w="3303" w:type="dxa"/>
            <w:tcBorders>
              <w:left w:val="single" w:color="000000" w:sz="4" w:space="0"/>
            </w:tcBorders>
            <w:vAlign w:val="center"/>
          </w:tcPr>
          <w:p w14:paraId="05156953">
            <w:pPr>
              <w:rPr>
                <w:color w:val="000000"/>
                <w:highlight w:val="none"/>
              </w:rPr>
            </w:pPr>
            <w:r>
              <w:rPr>
                <w:rFonts w:hint="eastAsia"/>
                <w:color w:val="000000"/>
                <w:highlight w:val="none"/>
              </w:rPr>
              <w:t>投标文件格式带“★”内容</w:t>
            </w:r>
          </w:p>
        </w:tc>
        <w:tc>
          <w:tcPr>
            <w:tcW w:w="1800" w:type="dxa"/>
          </w:tcPr>
          <w:p w14:paraId="45C8D34A">
            <w:pPr>
              <w:rPr>
                <w:color w:val="000000"/>
                <w:highlight w:val="none"/>
              </w:rPr>
            </w:pPr>
          </w:p>
        </w:tc>
        <w:tc>
          <w:tcPr>
            <w:tcW w:w="1904" w:type="dxa"/>
          </w:tcPr>
          <w:p w14:paraId="2CAD3544">
            <w:pPr>
              <w:rPr>
                <w:color w:val="000000"/>
                <w:highlight w:val="none"/>
              </w:rPr>
            </w:pPr>
          </w:p>
        </w:tc>
        <w:tc>
          <w:tcPr>
            <w:tcW w:w="1364" w:type="dxa"/>
          </w:tcPr>
          <w:p w14:paraId="26959C57">
            <w:pPr>
              <w:rPr>
                <w:color w:val="000000"/>
                <w:highlight w:val="none"/>
              </w:rPr>
            </w:pPr>
          </w:p>
        </w:tc>
      </w:tr>
      <w:tr w14:paraId="7522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04" w:type="dxa"/>
            <w:vAlign w:val="center"/>
          </w:tcPr>
          <w:p w14:paraId="64BDDC56">
            <w:pPr>
              <w:rPr>
                <w:color w:val="000000"/>
                <w:highlight w:val="none"/>
              </w:rPr>
            </w:pPr>
            <w:r>
              <w:rPr>
                <w:color w:val="000000"/>
                <w:highlight w:val="none"/>
              </w:rPr>
              <w:t>…</w:t>
            </w:r>
          </w:p>
        </w:tc>
        <w:tc>
          <w:tcPr>
            <w:tcW w:w="3303" w:type="dxa"/>
            <w:tcBorders>
              <w:left w:val="single" w:color="000000" w:sz="4" w:space="0"/>
            </w:tcBorders>
          </w:tcPr>
          <w:p w14:paraId="7F658C85">
            <w:pPr>
              <w:rPr>
                <w:color w:val="000000"/>
                <w:highlight w:val="none"/>
              </w:rPr>
            </w:pPr>
          </w:p>
        </w:tc>
        <w:tc>
          <w:tcPr>
            <w:tcW w:w="1800" w:type="dxa"/>
          </w:tcPr>
          <w:p w14:paraId="6E71EB5E">
            <w:pPr>
              <w:rPr>
                <w:color w:val="000000"/>
                <w:highlight w:val="none"/>
              </w:rPr>
            </w:pPr>
          </w:p>
        </w:tc>
        <w:tc>
          <w:tcPr>
            <w:tcW w:w="1904" w:type="dxa"/>
          </w:tcPr>
          <w:p w14:paraId="78218914">
            <w:pPr>
              <w:rPr>
                <w:color w:val="000000"/>
                <w:highlight w:val="none"/>
              </w:rPr>
            </w:pPr>
          </w:p>
        </w:tc>
        <w:tc>
          <w:tcPr>
            <w:tcW w:w="1364" w:type="dxa"/>
          </w:tcPr>
          <w:p w14:paraId="3B9AEF4A">
            <w:pPr>
              <w:rPr>
                <w:color w:val="000000"/>
                <w:highlight w:val="none"/>
              </w:rPr>
            </w:pPr>
          </w:p>
        </w:tc>
      </w:tr>
    </w:tbl>
    <w:p w14:paraId="1E5227B5">
      <w:pPr>
        <w:rPr>
          <w:rFonts w:ascii="宋体" w:hAnsi="宋体"/>
          <w:b/>
          <w:bCs/>
          <w:color w:val="000000"/>
          <w:szCs w:val="21"/>
          <w:highlight w:val="none"/>
        </w:rPr>
      </w:pPr>
      <w:r>
        <w:rPr>
          <w:rFonts w:hint="eastAsia" w:ascii="宋体" w:hAnsi="宋体"/>
          <w:b/>
          <w:bCs/>
          <w:color w:val="000000"/>
          <w:szCs w:val="21"/>
          <w:highlight w:val="none"/>
        </w:rPr>
        <w:t>说明：1、投标人必须对应招标文件的 “★”号条款逐条应答并按要求填写下表。</w:t>
      </w:r>
    </w:p>
    <w:p w14:paraId="47401608">
      <w:pPr>
        <w:ind w:left="510" w:leftChars="243" w:firstLine="102" w:firstLineChars="49"/>
        <w:rPr>
          <w:rFonts w:ascii="宋体" w:hAnsi="宋体"/>
          <w:b/>
          <w:bCs/>
          <w:color w:val="000000"/>
          <w:szCs w:val="21"/>
          <w:highlight w:val="none"/>
        </w:rPr>
      </w:pPr>
      <w:r>
        <w:rPr>
          <w:rFonts w:hint="eastAsia" w:ascii="宋体" w:hAnsi="宋体"/>
          <w:b/>
          <w:bCs/>
          <w:color w:val="000000"/>
          <w:szCs w:val="21"/>
          <w:highlight w:val="none"/>
        </w:rPr>
        <w:t>2、对完全响应的条目在下表相应列中标注“○”。对有偏离的条目在下表相应列中标注“×”，并简述偏离内容。</w:t>
      </w:r>
    </w:p>
    <w:p w14:paraId="13AF5E94">
      <w:pPr>
        <w:ind w:left="510" w:leftChars="243" w:firstLine="102" w:firstLineChars="49"/>
        <w:rPr>
          <w:rFonts w:ascii="宋体" w:hAnsi="宋体"/>
          <w:b/>
          <w:bCs/>
          <w:color w:val="000000"/>
          <w:szCs w:val="21"/>
          <w:highlight w:val="none"/>
        </w:rPr>
      </w:pPr>
      <w:r>
        <w:rPr>
          <w:rFonts w:hint="eastAsia" w:ascii="宋体" w:hAnsi="宋体"/>
          <w:b/>
          <w:bCs/>
          <w:color w:val="000000"/>
          <w:szCs w:val="21"/>
          <w:highlight w:val="none"/>
        </w:rPr>
        <w:t>3、本表提供空表的视为完全响应。</w:t>
      </w:r>
    </w:p>
    <w:p w14:paraId="37C92396">
      <w:pPr>
        <w:spacing w:line="400" w:lineRule="exact"/>
        <w:rPr>
          <w:rFonts w:ascii="宋体" w:hAnsi="宋体"/>
          <w:bCs/>
          <w:color w:val="000000"/>
          <w:szCs w:val="21"/>
          <w:highlight w:val="none"/>
        </w:rPr>
      </w:pPr>
    </w:p>
    <w:p w14:paraId="25C21228">
      <w:pPr>
        <w:spacing w:line="400" w:lineRule="exact"/>
        <w:rPr>
          <w:rFonts w:ascii="宋体" w:hAnsi="宋体"/>
          <w:bCs/>
          <w:color w:val="000000"/>
          <w:szCs w:val="21"/>
          <w:highlight w:val="none"/>
        </w:rPr>
      </w:pPr>
      <w:r>
        <w:rPr>
          <w:rFonts w:hint="eastAsia" w:ascii="宋体" w:hAnsi="宋体"/>
          <w:bCs/>
          <w:color w:val="000000"/>
          <w:szCs w:val="21"/>
          <w:highlight w:val="none"/>
        </w:rPr>
        <w:t>投标人全称（加盖公章）:</w:t>
      </w:r>
    </w:p>
    <w:p w14:paraId="482CFD4C">
      <w:pPr>
        <w:spacing w:line="300" w:lineRule="auto"/>
        <w:rPr>
          <w:rFonts w:ascii="宋体" w:hAnsi="宋体"/>
          <w:color w:val="000000"/>
          <w:szCs w:val="21"/>
          <w:highlight w:val="none"/>
          <w:u w:val="single"/>
        </w:rPr>
      </w:pPr>
      <w:r>
        <w:rPr>
          <w:rFonts w:hint="eastAsia" w:ascii="宋体" w:hAnsi="宋体"/>
          <w:bCs/>
          <w:color w:val="000000"/>
          <w:szCs w:val="21"/>
          <w:highlight w:val="none"/>
        </w:rPr>
        <w:t>法定代表人或其投标人授权代表(签字)：               日    期：     年   月   日</w:t>
      </w:r>
    </w:p>
    <w:p w14:paraId="7BE10B3E">
      <w:pPr>
        <w:pStyle w:val="4"/>
        <w:spacing w:line="240" w:lineRule="auto"/>
        <w:rPr>
          <w:color w:val="000000"/>
          <w:highlight w:val="none"/>
        </w:rPr>
        <w:sectPr>
          <w:footerReference r:id="rId22" w:type="default"/>
          <w:pgSz w:w="11906" w:h="16838"/>
          <w:pgMar w:top="936" w:right="1021" w:bottom="936" w:left="1021" w:header="737" w:footer="737" w:gutter="0"/>
          <w:cols w:space="720" w:num="1"/>
          <w:docGrid w:type="linesAndChars" w:linePitch="312" w:charSpace="0"/>
        </w:sectPr>
      </w:pPr>
    </w:p>
    <w:p w14:paraId="23A7EE17">
      <w:pPr>
        <w:pStyle w:val="4"/>
        <w:jc w:val="center"/>
        <w:rPr>
          <w:rFonts w:ascii="黑体"/>
          <w:color w:val="000000"/>
          <w:highlight w:val="none"/>
        </w:rPr>
      </w:pPr>
      <w:r>
        <w:rPr>
          <w:rFonts w:hint="eastAsia"/>
          <w:highlight w:val="none"/>
        </w:rPr>
        <w:t>技术响应一览表</w:t>
      </w:r>
    </w:p>
    <w:p w14:paraId="59519C9A">
      <w:pPr>
        <w:spacing w:line="360" w:lineRule="auto"/>
        <w:rPr>
          <w:rFonts w:ascii="Arial Unicode MS" w:hAnsi="Arial Unicode MS" w:eastAsia="Arial Unicode MS" w:cs="Arial Unicode MS"/>
          <w:bCs/>
          <w:color w:val="000000"/>
          <w:szCs w:val="21"/>
          <w:highlight w:val="none"/>
        </w:rPr>
      </w:pPr>
      <w:r>
        <w:rPr>
          <w:rFonts w:hint="eastAsia" w:ascii="宋体" w:hAnsi="宋体" w:cs="Tahoma"/>
          <w:color w:val="000000"/>
          <w:szCs w:val="21"/>
          <w:highlight w:val="none"/>
        </w:rPr>
        <w:t>项目名称</w:t>
      </w:r>
      <w:r>
        <w:rPr>
          <w:rFonts w:hint="eastAsia" w:ascii="宋体" w:hAnsi="宋体" w:cs="Tahoma"/>
          <w:color w:val="000000"/>
          <w:kern w:val="28"/>
          <w:szCs w:val="21"/>
          <w:highlight w:val="none"/>
        </w:rPr>
        <w:t xml:space="preserve">：                                            </w:t>
      </w:r>
      <w:r>
        <w:rPr>
          <w:rFonts w:ascii="宋体" w:hAnsi="宋体" w:cs="Tahoma"/>
          <w:color w:val="000000"/>
          <w:szCs w:val="21"/>
          <w:highlight w:val="none"/>
        </w:rPr>
        <w:t>项目编号：</w:t>
      </w:r>
      <w:r>
        <w:rPr>
          <w:rFonts w:hint="eastAsia" w:ascii="宋体" w:hAnsi="宋体"/>
          <w:szCs w:val="21"/>
          <w:highlight w:val="none"/>
        </w:rPr>
        <w:t xml:space="preserve"> </w:t>
      </w:r>
      <w:r>
        <w:rPr>
          <w:rFonts w:hint="eastAsia" w:ascii="Arial Unicode MS" w:hAnsi="Arial Unicode MS" w:eastAsia="Arial Unicode MS" w:cs="Arial Unicode MS"/>
          <w:bCs/>
          <w:color w:val="000000"/>
          <w:szCs w:val="21"/>
          <w:highlight w:val="none"/>
        </w:rPr>
        <w:t xml:space="preserve">           </w:t>
      </w:r>
      <w:r>
        <w:rPr>
          <w:rFonts w:hint="eastAsia" w:ascii="宋体" w:hAnsi="宋体"/>
          <w:bCs/>
          <w:color w:val="000000"/>
          <w:szCs w:val="21"/>
          <w:highlight w:val="none"/>
        </w:rPr>
        <w:t xml:space="preserve">  </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3277"/>
        <w:gridCol w:w="1785"/>
        <w:gridCol w:w="1888"/>
        <w:gridCol w:w="1354"/>
      </w:tblGrid>
      <w:tr w14:paraId="421F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871" w:type="dxa"/>
            <w:vAlign w:val="center"/>
          </w:tcPr>
          <w:p w14:paraId="684B9D91">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序号</w:t>
            </w:r>
          </w:p>
        </w:tc>
        <w:tc>
          <w:tcPr>
            <w:tcW w:w="3277" w:type="dxa"/>
            <w:tcBorders>
              <w:left w:val="single" w:color="000000" w:sz="4" w:space="0"/>
            </w:tcBorders>
            <w:vAlign w:val="center"/>
          </w:tcPr>
          <w:p w14:paraId="3EB4DEFA">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产品名称</w:t>
            </w:r>
          </w:p>
        </w:tc>
        <w:tc>
          <w:tcPr>
            <w:tcW w:w="1785" w:type="dxa"/>
            <w:vAlign w:val="center"/>
          </w:tcPr>
          <w:p w14:paraId="098039F3">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是否响应</w:t>
            </w:r>
          </w:p>
        </w:tc>
        <w:tc>
          <w:tcPr>
            <w:tcW w:w="1888" w:type="dxa"/>
            <w:vAlign w:val="center"/>
          </w:tcPr>
          <w:p w14:paraId="4B730162">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偏离说明</w:t>
            </w:r>
          </w:p>
        </w:tc>
        <w:tc>
          <w:tcPr>
            <w:tcW w:w="1354" w:type="dxa"/>
            <w:vAlign w:val="center"/>
          </w:tcPr>
          <w:p w14:paraId="02562171">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响应页码</w:t>
            </w:r>
          </w:p>
        </w:tc>
      </w:tr>
      <w:tr w14:paraId="686D3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71" w:type="dxa"/>
            <w:vAlign w:val="center"/>
          </w:tcPr>
          <w:p w14:paraId="7169B679">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1</w:t>
            </w:r>
          </w:p>
        </w:tc>
        <w:tc>
          <w:tcPr>
            <w:tcW w:w="3277" w:type="dxa"/>
            <w:tcBorders>
              <w:left w:val="single" w:color="000000" w:sz="4" w:space="0"/>
            </w:tcBorders>
            <w:vAlign w:val="center"/>
          </w:tcPr>
          <w:p w14:paraId="10401E27">
            <w:pPr>
              <w:spacing w:line="240" w:lineRule="exact"/>
              <w:rPr>
                <w:szCs w:val="21"/>
                <w:highlight w:val="none"/>
              </w:rPr>
            </w:pPr>
          </w:p>
        </w:tc>
        <w:tc>
          <w:tcPr>
            <w:tcW w:w="1785" w:type="dxa"/>
          </w:tcPr>
          <w:p w14:paraId="1765A812">
            <w:pPr>
              <w:spacing w:before="240" w:line="240" w:lineRule="exact"/>
              <w:ind w:left="902" w:hanging="902"/>
              <w:rPr>
                <w:rFonts w:ascii="宋体" w:hAnsi="宋体"/>
                <w:color w:val="000000"/>
                <w:szCs w:val="21"/>
                <w:highlight w:val="none"/>
              </w:rPr>
            </w:pPr>
          </w:p>
        </w:tc>
        <w:tc>
          <w:tcPr>
            <w:tcW w:w="1888" w:type="dxa"/>
          </w:tcPr>
          <w:p w14:paraId="164461D3">
            <w:pPr>
              <w:spacing w:before="240" w:line="240" w:lineRule="exact"/>
              <w:ind w:left="902" w:hanging="902"/>
              <w:rPr>
                <w:rFonts w:ascii="宋体" w:hAnsi="宋体"/>
                <w:color w:val="000000"/>
                <w:szCs w:val="21"/>
                <w:highlight w:val="none"/>
              </w:rPr>
            </w:pPr>
          </w:p>
        </w:tc>
        <w:tc>
          <w:tcPr>
            <w:tcW w:w="1354" w:type="dxa"/>
          </w:tcPr>
          <w:p w14:paraId="6D713749">
            <w:pPr>
              <w:spacing w:before="240" w:line="240" w:lineRule="exact"/>
              <w:rPr>
                <w:rFonts w:ascii="宋体" w:hAnsi="宋体"/>
                <w:color w:val="000000"/>
                <w:szCs w:val="21"/>
                <w:highlight w:val="none"/>
              </w:rPr>
            </w:pPr>
          </w:p>
        </w:tc>
      </w:tr>
      <w:tr w14:paraId="07E9B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871" w:type="dxa"/>
            <w:vAlign w:val="center"/>
          </w:tcPr>
          <w:p w14:paraId="06C5A711">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2</w:t>
            </w:r>
          </w:p>
        </w:tc>
        <w:tc>
          <w:tcPr>
            <w:tcW w:w="3277" w:type="dxa"/>
            <w:tcBorders>
              <w:left w:val="single" w:color="000000" w:sz="4" w:space="0"/>
            </w:tcBorders>
            <w:vAlign w:val="center"/>
          </w:tcPr>
          <w:p w14:paraId="3A667AAA">
            <w:pPr>
              <w:spacing w:line="240" w:lineRule="exact"/>
              <w:rPr>
                <w:szCs w:val="21"/>
                <w:highlight w:val="none"/>
              </w:rPr>
            </w:pPr>
          </w:p>
        </w:tc>
        <w:tc>
          <w:tcPr>
            <w:tcW w:w="1785" w:type="dxa"/>
          </w:tcPr>
          <w:p w14:paraId="6C7EAF74">
            <w:pPr>
              <w:spacing w:before="240" w:line="240" w:lineRule="exact"/>
              <w:ind w:left="902" w:hanging="902"/>
              <w:rPr>
                <w:rFonts w:ascii="宋体" w:hAnsi="宋体"/>
                <w:color w:val="000000"/>
                <w:szCs w:val="21"/>
                <w:highlight w:val="none"/>
              </w:rPr>
            </w:pPr>
          </w:p>
        </w:tc>
        <w:tc>
          <w:tcPr>
            <w:tcW w:w="1888" w:type="dxa"/>
          </w:tcPr>
          <w:p w14:paraId="04159668">
            <w:pPr>
              <w:spacing w:before="240" w:line="240" w:lineRule="exact"/>
              <w:ind w:left="902" w:hanging="902"/>
              <w:rPr>
                <w:rFonts w:ascii="宋体" w:hAnsi="宋体"/>
                <w:color w:val="000000"/>
                <w:szCs w:val="21"/>
                <w:highlight w:val="none"/>
              </w:rPr>
            </w:pPr>
          </w:p>
        </w:tc>
        <w:tc>
          <w:tcPr>
            <w:tcW w:w="1354" w:type="dxa"/>
          </w:tcPr>
          <w:p w14:paraId="01A5493E">
            <w:pPr>
              <w:spacing w:before="240" w:line="240" w:lineRule="exact"/>
              <w:ind w:left="902" w:hanging="902"/>
              <w:rPr>
                <w:rFonts w:ascii="宋体" w:hAnsi="宋体"/>
                <w:color w:val="000000"/>
                <w:szCs w:val="21"/>
                <w:highlight w:val="none"/>
              </w:rPr>
            </w:pPr>
          </w:p>
        </w:tc>
      </w:tr>
      <w:tr w14:paraId="25C10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71" w:type="dxa"/>
            <w:vAlign w:val="center"/>
          </w:tcPr>
          <w:p w14:paraId="74ED94CC">
            <w:pPr>
              <w:spacing w:before="240" w:line="240" w:lineRule="exact"/>
              <w:ind w:left="902" w:hanging="902"/>
              <w:jc w:val="center"/>
              <w:rPr>
                <w:rFonts w:ascii="宋体" w:hAnsi="宋体"/>
                <w:color w:val="000000"/>
                <w:szCs w:val="21"/>
                <w:highlight w:val="none"/>
              </w:rPr>
            </w:pPr>
            <w:r>
              <w:rPr>
                <w:rFonts w:hint="eastAsia" w:ascii="宋体" w:hAnsi="宋体"/>
                <w:color w:val="000000"/>
                <w:szCs w:val="21"/>
                <w:highlight w:val="none"/>
              </w:rPr>
              <w:t>3</w:t>
            </w:r>
          </w:p>
        </w:tc>
        <w:tc>
          <w:tcPr>
            <w:tcW w:w="3277" w:type="dxa"/>
            <w:tcBorders>
              <w:left w:val="single" w:color="000000" w:sz="4" w:space="0"/>
            </w:tcBorders>
          </w:tcPr>
          <w:p w14:paraId="2334D3C0">
            <w:pPr>
              <w:spacing w:line="240" w:lineRule="exact"/>
              <w:rPr>
                <w:color w:val="000000"/>
                <w:szCs w:val="21"/>
                <w:highlight w:val="none"/>
              </w:rPr>
            </w:pPr>
          </w:p>
        </w:tc>
        <w:tc>
          <w:tcPr>
            <w:tcW w:w="1785" w:type="dxa"/>
          </w:tcPr>
          <w:p w14:paraId="1190C75D">
            <w:pPr>
              <w:spacing w:before="240" w:line="240" w:lineRule="exact"/>
              <w:ind w:left="902" w:hanging="902"/>
              <w:rPr>
                <w:rFonts w:ascii="宋体" w:hAnsi="宋体"/>
                <w:color w:val="000000"/>
                <w:szCs w:val="21"/>
                <w:highlight w:val="none"/>
              </w:rPr>
            </w:pPr>
          </w:p>
        </w:tc>
        <w:tc>
          <w:tcPr>
            <w:tcW w:w="1888" w:type="dxa"/>
          </w:tcPr>
          <w:p w14:paraId="75C740C9">
            <w:pPr>
              <w:spacing w:before="240" w:line="240" w:lineRule="exact"/>
              <w:ind w:left="902" w:hanging="902"/>
              <w:rPr>
                <w:rFonts w:ascii="宋体" w:hAnsi="宋体"/>
                <w:color w:val="000000"/>
                <w:szCs w:val="21"/>
                <w:highlight w:val="none"/>
              </w:rPr>
            </w:pPr>
          </w:p>
        </w:tc>
        <w:tc>
          <w:tcPr>
            <w:tcW w:w="1354" w:type="dxa"/>
          </w:tcPr>
          <w:p w14:paraId="2C9FC674">
            <w:pPr>
              <w:spacing w:before="240" w:line="240" w:lineRule="exact"/>
              <w:ind w:left="902" w:hanging="902"/>
              <w:rPr>
                <w:rFonts w:ascii="宋体" w:hAnsi="宋体"/>
                <w:color w:val="000000"/>
                <w:szCs w:val="21"/>
                <w:highlight w:val="none"/>
              </w:rPr>
            </w:pPr>
          </w:p>
        </w:tc>
      </w:tr>
      <w:tr w14:paraId="0AE91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71" w:type="dxa"/>
            <w:vAlign w:val="center"/>
          </w:tcPr>
          <w:p w14:paraId="51544DA3">
            <w:pPr>
              <w:spacing w:before="240" w:line="240" w:lineRule="exact"/>
              <w:ind w:firstLine="105" w:firstLineChars="50"/>
              <w:rPr>
                <w:rFonts w:ascii="宋体" w:hAnsi="宋体"/>
                <w:color w:val="000000"/>
                <w:szCs w:val="21"/>
                <w:highlight w:val="none"/>
              </w:rPr>
            </w:pPr>
            <w:r>
              <w:rPr>
                <w:rFonts w:ascii="宋体" w:hAnsi="宋体"/>
                <w:color w:val="000000"/>
                <w:szCs w:val="21"/>
                <w:highlight w:val="none"/>
              </w:rPr>
              <w:t>…</w:t>
            </w:r>
          </w:p>
        </w:tc>
        <w:tc>
          <w:tcPr>
            <w:tcW w:w="3277" w:type="dxa"/>
            <w:tcBorders>
              <w:left w:val="single" w:color="000000" w:sz="4" w:space="0"/>
            </w:tcBorders>
          </w:tcPr>
          <w:p w14:paraId="6845449D">
            <w:pPr>
              <w:spacing w:line="240" w:lineRule="exact"/>
              <w:rPr>
                <w:color w:val="000000"/>
                <w:szCs w:val="21"/>
                <w:highlight w:val="none"/>
              </w:rPr>
            </w:pPr>
          </w:p>
        </w:tc>
        <w:tc>
          <w:tcPr>
            <w:tcW w:w="1785" w:type="dxa"/>
          </w:tcPr>
          <w:p w14:paraId="7855EA58">
            <w:pPr>
              <w:spacing w:before="240" w:line="240" w:lineRule="exact"/>
              <w:ind w:left="902" w:hanging="902"/>
              <w:rPr>
                <w:rFonts w:ascii="宋体" w:hAnsi="宋体"/>
                <w:color w:val="000000"/>
                <w:szCs w:val="21"/>
                <w:highlight w:val="none"/>
              </w:rPr>
            </w:pPr>
          </w:p>
        </w:tc>
        <w:tc>
          <w:tcPr>
            <w:tcW w:w="1888" w:type="dxa"/>
          </w:tcPr>
          <w:p w14:paraId="2A3B517F">
            <w:pPr>
              <w:spacing w:before="240" w:line="240" w:lineRule="exact"/>
              <w:ind w:left="902" w:hanging="902"/>
              <w:rPr>
                <w:rFonts w:ascii="宋体" w:hAnsi="宋体"/>
                <w:color w:val="000000"/>
                <w:szCs w:val="21"/>
                <w:highlight w:val="none"/>
              </w:rPr>
            </w:pPr>
          </w:p>
        </w:tc>
        <w:tc>
          <w:tcPr>
            <w:tcW w:w="1354" w:type="dxa"/>
          </w:tcPr>
          <w:p w14:paraId="6F72739F">
            <w:pPr>
              <w:spacing w:before="240" w:line="240" w:lineRule="exact"/>
              <w:ind w:left="902" w:hanging="902"/>
              <w:rPr>
                <w:rFonts w:ascii="宋体" w:hAnsi="宋体"/>
                <w:color w:val="000000"/>
                <w:szCs w:val="21"/>
                <w:highlight w:val="none"/>
              </w:rPr>
            </w:pPr>
          </w:p>
        </w:tc>
      </w:tr>
    </w:tbl>
    <w:p w14:paraId="6478CC79">
      <w:pPr>
        <w:spacing w:line="360" w:lineRule="auto"/>
        <w:rPr>
          <w:rFonts w:ascii="宋体" w:hAnsi="宋体" w:cs="Tahoma"/>
          <w:color w:val="000000"/>
          <w:szCs w:val="21"/>
          <w:highlight w:val="none"/>
        </w:rPr>
      </w:pPr>
      <w:r>
        <w:rPr>
          <w:rFonts w:hint="eastAsia" w:ascii="宋体" w:hAnsi="宋体" w:cs="Tahoma"/>
          <w:b/>
          <w:bCs/>
          <w:color w:val="000000"/>
          <w:szCs w:val="21"/>
          <w:highlight w:val="none"/>
        </w:rPr>
        <w:t>说明：1、对完全响应的设备参数在表中标注“响应”。对有偏离的设备参数在表中标注“不响应”，并简述偏离内容。</w:t>
      </w:r>
    </w:p>
    <w:p w14:paraId="4E725880">
      <w:pPr>
        <w:spacing w:line="360" w:lineRule="auto"/>
        <w:rPr>
          <w:rFonts w:ascii="宋体" w:hAnsi="宋体" w:cs="Tahoma"/>
          <w:color w:val="000000"/>
          <w:szCs w:val="21"/>
          <w:highlight w:val="none"/>
        </w:rPr>
      </w:pPr>
      <w:r>
        <w:rPr>
          <w:rFonts w:hint="eastAsia" w:ascii="宋体" w:hAnsi="宋体" w:cs="Tahoma"/>
          <w:color w:val="000000"/>
          <w:szCs w:val="21"/>
          <w:highlight w:val="none"/>
        </w:rPr>
        <w:t>报价人全称（加盖公章）:</w:t>
      </w:r>
    </w:p>
    <w:p w14:paraId="7C982351">
      <w:pPr>
        <w:pStyle w:val="4"/>
        <w:spacing w:line="240" w:lineRule="auto"/>
        <w:rPr>
          <w:color w:val="000000"/>
          <w:highlight w:val="none"/>
        </w:rPr>
      </w:pPr>
      <w:r>
        <w:rPr>
          <w:rFonts w:hint="eastAsia" w:cs="Tahoma"/>
          <w:b w:val="0"/>
          <w:color w:val="000000"/>
          <w:sz w:val="21"/>
          <w:szCs w:val="21"/>
          <w:highlight w:val="none"/>
        </w:rPr>
        <w:t>法定代表人或其报价人授权代表(签字)：               日    期：     年   月   日</w:t>
      </w:r>
      <w:r>
        <w:rPr>
          <w:rFonts w:hint="eastAsia"/>
          <w:color w:val="000000"/>
          <w:highlight w:val="none"/>
        </w:rPr>
        <w:br w:type="page"/>
      </w:r>
      <w:r>
        <w:rPr>
          <w:rFonts w:hint="eastAsia"/>
          <w:color w:val="000000"/>
          <w:highlight w:val="none"/>
        </w:rPr>
        <w:t>格式9                 商务评审索引表</w:t>
      </w:r>
    </w:p>
    <w:tbl>
      <w:tblPr>
        <w:tblStyle w:val="22"/>
        <w:tblW w:w="0" w:type="auto"/>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3780"/>
        <w:gridCol w:w="2550"/>
        <w:gridCol w:w="2076"/>
      </w:tblGrid>
      <w:tr w14:paraId="73B88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tcPr>
          <w:p w14:paraId="2A8BC739">
            <w:pPr>
              <w:jc w:val="center"/>
              <w:rPr>
                <w:rFonts w:ascii="宋体" w:hAnsi="宋体"/>
                <w:color w:val="000000"/>
                <w:szCs w:val="21"/>
                <w:highlight w:val="none"/>
              </w:rPr>
            </w:pPr>
            <w:r>
              <w:rPr>
                <w:rFonts w:hint="eastAsia" w:ascii="宋体" w:hAnsi="宋体"/>
                <w:color w:val="000000"/>
                <w:szCs w:val="21"/>
                <w:highlight w:val="none"/>
              </w:rPr>
              <w:t>序号</w:t>
            </w:r>
          </w:p>
        </w:tc>
        <w:tc>
          <w:tcPr>
            <w:tcW w:w="3780" w:type="dxa"/>
            <w:vAlign w:val="center"/>
          </w:tcPr>
          <w:p w14:paraId="54F5B7B4">
            <w:pPr>
              <w:jc w:val="center"/>
              <w:rPr>
                <w:rFonts w:ascii="宋体" w:hAnsi="宋体"/>
                <w:color w:val="000000"/>
                <w:szCs w:val="21"/>
                <w:highlight w:val="none"/>
              </w:rPr>
            </w:pPr>
            <w:r>
              <w:rPr>
                <w:rFonts w:hint="eastAsia" w:ascii="宋体" w:hAnsi="宋体"/>
                <w:color w:val="000000"/>
                <w:szCs w:val="21"/>
                <w:highlight w:val="none"/>
              </w:rPr>
              <w:t>评审内容</w:t>
            </w:r>
          </w:p>
          <w:p w14:paraId="2C4AC946">
            <w:pPr>
              <w:jc w:val="center"/>
              <w:rPr>
                <w:rFonts w:ascii="宋体" w:hAnsi="宋体"/>
                <w:color w:val="000000"/>
                <w:szCs w:val="21"/>
                <w:highlight w:val="none"/>
              </w:rPr>
            </w:pPr>
            <w:r>
              <w:rPr>
                <w:rFonts w:hint="eastAsia" w:ascii="宋体" w:hAnsi="宋体"/>
                <w:color w:val="000000"/>
                <w:szCs w:val="21"/>
                <w:highlight w:val="none"/>
              </w:rPr>
              <w:t>（注：此部分可直接引用招标文件第四章评标办法中评审细则相应内容）</w:t>
            </w:r>
          </w:p>
        </w:tc>
        <w:tc>
          <w:tcPr>
            <w:tcW w:w="2550" w:type="dxa"/>
            <w:vAlign w:val="center"/>
          </w:tcPr>
          <w:p w14:paraId="1867C9BF">
            <w:pPr>
              <w:jc w:val="center"/>
              <w:rPr>
                <w:rFonts w:ascii="宋体" w:hAnsi="宋体"/>
                <w:color w:val="000000"/>
                <w:szCs w:val="21"/>
                <w:highlight w:val="none"/>
              </w:rPr>
            </w:pPr>
            <w:r>
              <w:rPr>
                <w:rFonts w:hint="eastAsia" w:ascii="宋体" w:hAnsi="宋体"/>
                <w:color w:val="000000"/>
                <w:szCs w:val="21"/>
                <w:highlight w:val="none"/>
              </w:rPr>
              <w:t>投标响应情况</w:t>
            </w:r>
          </w:p>
        </w:tc>
        <w:tc>
          <w:tcPr>
            <w:tcW w:w="2076" w:type="dxa"/>
            <w:vAlign w:val="center"/>
          </w:tcPr>
          <w:p w14:paraId="324F35F2">
            <w:pPr>
              <w:jc w:val="center"/>
              <w:rPr>
                <w:rFonts w:ascii="宋体" w:hAnsi="宋体"/>
                <w:color w:val="000000"/>
                <w:szCs w:val="21"/>
                <w:highlight w:val="none"/>
              </w:rPr>
            </w:pPr>
            <w:r>
              <w:rPr>
                <w:rFonts w:hint="eastAsia" w:ascii="宋体" w:hAnsi="宋体"/>
                <w:color w:val="000000"/>
                <w:szCs w:val="21"/>
                <w:highlight w:val="none"/>
              </w:rPr>
              <w:t>投标文件响应内容对应页码</w:t>
            </w:r>
          </w:p>
        </w:tc>
      </w:tr>
      <w:tr w14:paraId="20055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vAlign w:val="center"/>
          </w:tcPr>
          <w:p w14:paraId="48C2E7E7">
            <w:pPr>
              <w:jc w:val="center"/>
              <w:rPr>
                <w:rFonts w:ascii="宋体" w:hAnsi="宋体"/>
                <w:color w:val="000000"/>
                <w:szCs w:val="21"/>
                <w:highlight w:val="none"/>
              </w:rPr>
            </w:pPr>
            <w:r>
              <w:rPr>
                <w:rFonts w:hint="eastAsia" w:ascii="宋体" w:hAnsi="宋体"/>
                <w:color w:val="000000"/>
                <w:szCs w:val="21"/>
                <w:highlight w:val="none"/>
              </w:rPr>
              <w:t>1</w:t>
            </w:r>
          </w:p>
        </w:tc>
        <w:tc>
          <w:tcPr>
            <w:tcW w:w="3780" w:type="dxa"/>
            <w:vAlign w:val="center"/>
          </w:tcPr>
          <w:p w14:paraId="45ED8F42">
            <w:pPr>
              <w:rPr>
                <w:rFonts w:ascii="宋体" w:hAnsi="宋体"/>
                <w:color w:val="000000"/>
                <w:szCs w:val="21"/>
                <w:highlight w:val="none"/>
              </w:rPr>
            </w:pPr>
          </w:p>
        </w:tc>
        <w:tc>
          <w:tcPr>
            <w:tcW w:w="2550" w:type="dxa"/>
            <w:vAlign w:val="center"/>
          </w:tcPr>
          <w:p w14:paraId="4962AE52">
            <w:pPr>
              <w:rPr>
                <w:rFonts w:ascii="宋体" w:hAnsi="宋体"/>
                <w:color w:val="000000"/>
                <w:szCs w:val="21"/>
                <w:highlight w:val="none"/>
              </w:rPr>
            </w:pPr>
          </w:p>
        </w:tc>
        <w:tc>
          <w:tcPr>
            <w:tcW w:w="2076" w:type="dxa"/>
            <w:vAlign w:val="center"/>
          </w:tcPr>
          <w:p w14:paraId="6027A9A8">
            <w:pPr>
              <w:jc w:val="center"/>
              <w:rPr>
                <w:rFonts w:ascii="宋体" w:hAnsi="宋体"/>
                <w:color w:val="000000"/>
                <w:szCs w:val="21"/>
                <w:highlight w:val="none"/>
              </w:rPr>
            </w:pPr>
          </w:p>
        </w:tc>
      </w:tr>
      <w:tr w14:paraId="627A8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vAlign w:val="center"/>
          </w:tcPr>
          <w:p w14:paraId="1A8429B7">
            <w:pPr>
              <w:jc w:val="center"/>
              <w:rPr>
                <w:rFonts w:ascii="宋体" w:hAnsi="宋体"/>
                <w:color w:val="000000"/>
                <w:szCs w:val="21"/>
                <w:highlight w:val="none"/>
              </w:rPr>
            </w:pPr>
            <w:r>
              <w:rPr>
                <w:rFonts w:hint="eastAsia" w:ascii="宋体" w:hAnsi="宋体"/>
                <w:color w:val="000000"/>
                <w:szCs w:val="21"/>
                <w:highlight w:val="none"/>
              </w:rPr>
              <w:t>2</w:t>
            </w:r>
          </w:p>
        </w:tc>
        <w:tc>
          <w:tcPr>
            <w:tcW w:w="3780" w:type="dxa"/>
            <w:vAlign w:val="center"/>
          </w:tcPr>
          <w:p w14:paraId="15A51BB5">
            <w:pPr>
              <w:rPr>
                <w:rFonts w:ascii="宋体" w:hAnsi="宋体"/>
                <w:color w:val="000000"/>
                <w:szCs w:val="21"/>
                <w:highlight w:val="none"/>
              </w:rPr>
            </w:pPr>
          </w:p>
        </w:tc>
        <w:tc>
          <w:tcPr>
            <w:tcW w:w="2550" w:type="dxa"/>
            <w:vAlign w:val="center"/>
          </w:tcPr>
          <w:p w14:paraId="22F6CFB0">
            <w:pPr>
              <w:rPr>
                <w:rFonts w:ascii="宋体" w:hAnsi="宋体"/>
                <w:color w:val="000000"/>
                <w:szCs w:val="21"/>
                <w:highlight w:val="none"/>
              </w:rPr>
            </w:pPr>
          </w:p>
        </w:tc>
        <w:tc>
          <w:tcPr>
            <w:tcW w:w="2076" w:type="dxa"/>
            <w:vAlign w:val="center"/>
          </w:tcPr>
          <w:p w14:paraId="51E20382">
            <w:pPr>
              <w:jc w:val="center"/>
              <w:rPr>
                <w:rFonts w:ascii="宋体" w:hAnsi="宋体"/>
                <w:color w:val="000000"/>
                <w:szCs w:val="21"/>
                <w:highlight w:val="none"/>
              </w:rPr>
            </w:pPr>
          </w:p>
        </w:tc>
      </w:tr>
      <w:tr w14:paraId="1F493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vAlign w:val="center"/>
          </w:tcPr>
          <w:p w14:paraId="643CF5B0">
            <w:pPr>
              <w:jc w:val="center"/>
              <w:rPr>
                <w:rFonts w:ascii="宋体" w:hAnsi="宋体"/>
                <w:color w:val="000000"/>
                <w:szCs w:val="21"/>
                <w:highlight w:val="none"/>
              </w:rPr>
            </w:pPr>
            <w:r>
              <w:rPr>
                <w:rFonts w:ascii="宋体" w:hAnsi="宋体"/>
                <w:color w:val="000000"/>
                <w:szCs w:val="21"/>
                <w:highlight w:val="none"/>
              </w:rPr>
              <w:t>…</w:t>
            </w:r>
          </w:p>
        </w:tc>
        <w:tc>
          <w:tcPr>
            <w:tcW w:w="3780" w:type="dxa"/>
            <w:vAlign w:val="center"/>
          </w:tcPr>
          <w:p w14:paraId="64E97A52">
            <w:pPr>
              <w:rPr>
                <w:rFonts w:ascii="宋体" w:hAnsi="宋体"/>
                <w:color w:val="000000"/>
                <w:szCs w:val="21"/>
                <w:highlight w:val="none"/>
              </w:rPr>
            </w:pPr>
          </w:p>
        </w:tc>
        <w:tc>
          <w:tcPr>
            <w:tcW w:w="2550" w:type="dxa"/>
            <w:vAlign w:val="center"/>
          </w:tcPr>
          <w:p w14:paraId="7EC96ED8">
            <w:pPr>
              <w:rPr>
                <w:rFonts w:ascii="宋体" w:hAnsi="宋体"/>
                <w:color w:val="000000"/>
                <w:szCs w:val="21"/>
                <w:highlight w:val="none"/>
              </w:rPr>
            </w:pPr>
          </w:p>
        </w:tc>
        <w:tc>
          <w:tcPr>
            <w:tcW w:w="2076" w:type="dxa"/>
            <w:vAlign w:val="center"/>
          </w:tcPr>
          <w:p w14:paraId="020A7045">
            <w:pPr>
              <w:jc w:val="center"/>
              <w:rPr>
                <w:rFonts w:ascii="宋体" w:hAnsi="宋体"/>
                <w:color w:val="000000"/>
                <w:szCs w:val="21"/>
                <w:highlight w:val="none"/>
              </w:rPr>
            </w:pPr>
          </w:p>
        </w:tc>
      </w:tr>
    </w:tbl>
    <w:p w14:paraId="06D879DD">
      <w:pPr>
        <w:rPr>
          <w:highlight w:val="none"/>
        </w:rPr>
      </w:pPr>
      <w:bookmarkStart w:id="1157" w:name="_Toc334795488"/>
    </w:p>
    <w:p w14:paraId="06561D87">
      <w:pPr>
        <w:rPr>
          <w:color w:val="000000"/>
          <w:highlight w:val="none"/>
        </w:rPr>
      </w:pPr>
      <w:r>
        <w:rPr>
          <w:rFonts w:hint="eastAsia"/>
          <w:color w:val="000000"/>
          <w:highlight w:val="none"/>
        </w:rPr>
        <w:t>注：上述表格没有列出相应条款的，即视为完全响应招标文件要求。</w:t>
      </w:r>
    </w:p>
    <w:p w14:paraId="18CFEB47">
      <w:pPr>
        <w:rPr>
          <w:color w:val="FF0000"/>
          <w:highlight w:val="none"/>
        </w:rPr>
        <w:sectPr>
          <w:footerReference r:id="rId23" w:type="default"/>
          <w:pgSz w:w="11906" w:h="16838"/>
          <w:pgMar w:top="936" w:right="1021" w:bottom="936" w:left="1021" w:header="737" w:footer="737" w:gutter="0"/>
          <w:cols w:space="720" w:num="1"/>
          <w:docGrid w:type="linesAndChars" w:linePitch="312" w:charSpace="0"/>
        </w:sectPr>
      </w:pPr>
    </w:p>
    <w:bookmarkEnd w:id="1157"/>
    <w:p w14:paraId="3F4D03A5">
      <w:pPr>
        <w:pStyle w:val="3"/>
        <w:spacing w:line="480" w:lineRule="exact"/>
        <w:rPr>
          <w:rFonts w:ascii="Arial" w:hAnsi="Arial" w:cs="Arial"/>
          <w:color w:val="000000"/>
          <w:sz w:val="32"/>
          <w:szCs w:val="32"/>
          <w:highlight w:val="none"/>
        </w:rPr>
      </w:pPr>
      <w:bookmarkStart w:id="1158" w:name="_Toc23127"/>
      <w:bookmarkStart w:id="1159" w:name="_Toc334795489"/>
      <w:bookmarkStart w:id="1160" w:name="_Toc27017"/>
      <w:r>
        <w:rPr>
          <w:rFonts w:hint="eastAsia" w:ascii="Arial" w:hAnsi="Arial" w:cs="Arial"/>
          <w:color w:val="000000"/>
          <w:sz w:val="32"/>
          <w:szCs w:val="32"/>
          <w:highlight w:val="none"/>
        </w:rPr>
        <w:t xml:space="preserve">格式10                </w:t>
      </w:r>
      <w:r>
        <w:rPr>
          <w:rFonts w:ascii="Arial" w:hAnsi="Arial" w:cs="Arial"/>
          <w:color w:val="000000"/>
          <w:sz w:val="32"/>
          <w:szCs w:val="32"/>
          <w:highlight w:val="none"/>
        </w:rPr>
        <w:t>同意</w:t>
      </w:r>
      <w:r>
        <w:rPr>
          <w:rFonts w:hint="eastAsia" w:ascii="Arial" w:hAnsi="Arial" w:cs="Arial"/>
          <w:color w:val="000000"/>
          <w:sz w:val="32"/>
          <w:szCs w:val="32"/>
          <w:highlight w:val="none"/>
        </w:rPr>
        <w:t>招标</w:t>
      </w:r>
      <w:r>
        <w:rPr>
          <w:rFonts w:ascii="Arial" w:hAnsi="Arial" w:cs="Arial"/>
          <w:color w:val="000000"/>
          <w:sz w:val="32"/>
          <w:szCs w:val="32"/>
          <w:highlight w:val="none"/>
        </w:rPr>
        <w:t>文件条款说明</w:t>
      </w:r>
      <w:bookmarkEnd w:id="1158"/>
      <w:bookmarkEnd w:id="1159"/>
      <w:bookmarkEnd w:id="1160"/>
    </w:p>
    <w:p w14:paraId="54847FAC">
      <w:pPr>
        <w:widowControl/>
        <w:spacing w:line="300" w:lineRule="auto"/>
        <w:rPr>
          <w:rFonts w:ascii="Arial" w:hAnsi="Arial" w:cs="Arial"/>
          <w:color w:val="000000"/>
          <w:szCs w:val="21"/>
          <w:highlight w:val="none"/>
        </w:rPr>
      </w:pPr>
      <w:r>
        <w:rPr>
          <w:rFonts w:ascii="宋体" w:hAnsi="宋体" w:cs="宋体"/>
          <w:color w:val="000000"/>
          <w:kern w:val="0"/>
          <w:szCs w:val="21"/>
          <w:highlight w:val="none"/>
        </w:rPr>
        <w:t>致：</w:t>
      </w:r>
      <w:r>
        <w:rPr>
          <w:rFonts w:hint="eastAsia" w:ascii="宋体" w:hAnsi="宋体" w:cs="宋体"/>
          <w:color w:val="000000"/>
          <w:kern w:val="0"/>
          <w:szCs w:val="21"/>
          <w:highlight w:val="none"/>
        </w:rPr>
        <w:t>广东群升招标代理有限公司</w:t>
      </w:r>
    </w:p>
    <w:p w14:paraId="3EF678E9">
      <w:pPr>
        <w:spacing w:line="300" w:lineRule="auto"/>
        <w:ind w:firstLine="478" w:firstLineChars="228"/>
        <w:rPr>
          <w:rFonts w:ascii="Arial" w:hAnsi="Arial" w:cs="Arial"/>
          <w:color w:val="000000"/>
          <w:szCs w:val="21"/>
          <w:highlight w:val="none"/>
        </w:rPr>
      </w:pPr>
      <w:r>
        <w:rPr>
          <w:rFonts w:ascii="宋体" w:hAnsi="宋体" w:cs="宋体"/>
          <w:color w:val="000000"/>
          <w:kern w:val="0"/>
          <w:szCs w:val="21"/>
          <w:highlight w:val="none"/>
        </w:rPr>
        <w:t>为响应你方组织的</w:t>
      </w:r>
      <w:r>
        <w:rPr>
          <w:rFonts w:hint="eastAsia" w:ascii="宋体" w:hAnsi="宋体" w:cs="宋体"/>
          <w:color w:val="000000"/>
          <w:kern w:val="0"/>
          <w:szCs w:val="21"/>
          <w:highlight w:val="none"/>
        </w:rPr>
        <w:t>项目名称：</w:t>
      </w:r>
      <w:r>
        <w:rPr>
          <w:rFonts w:hint="eastAsia" w:ascii="Arial" w:hAnsi="Arial" w:cs="Arial"/>
          <w:color w:val="000000"/>
          <w:kern w:val="28"/>
          <w:szCs w:val="21"/>
          <w:highlight w:val="none"/>
          <w:u w:val="single"/>
        </w:rPr>
        <w:t xml:space="preserve">                   </w:t>
      </w:r>
      <w:r>
        <w:rPr>
          <w:rFonts w:ascii="宋体" w:hAnsi="宋体" w:cs="宋体"/>
          <w:color w:val="000000"/>
          <w:kern w:val="0"/>
          <w:szCs w:val="21"/>
          <w:highlight w:val="none"/>
        </w:rPr>
        <w:t>项目的招标【招标编号：</w:t>
      </w:r>
      <w:r>
        <w:rPr>
          <w:rFonts w:hint="eastAsia" w:ascii="Arial" w:hAnsi="Arial" w:cs="Arial"/>
          <w:color w:val="000000"/>
          <w:kern w:val="28"/>
          <w:szCs w:val="21"/>
          <w:highlight w:val="none"/>
          <w:u w:val="single"/>
        </w:rPr>
        <w:t xml:space="preserve">                       </w:t>
      </w:r>
      <w:r>
        <w:rPr>
          <w:rFonts w:ascii="宋体" w:hAnsi="宋体" w:cs="宋体"/>
          <w:color w:val="000000"/>
          <w:kern w:val="0"/>
          <w:szCs w:val="21"/>
          <w:highlight w:val="none"/>
        </w:rPr>
        <w:t>】</w:t>
      </w:r>
      <w:r>
        <w:rPr>
          <w:rFonts w:hint="eastAsia" w:ascii="宋体" w:hAnsi="宋体" w:cs="宋体"/>
          <w:color w:val="000000"/>
          <w:kern w:val="0"/>
          <w:szCs w:val="21"/>
          <w:highlight w:val="none"/>
        </w:rPr>
        <w:t>，</w:t>
      </w:r>
      <w:r>
        <w:rPr>
          <w:rFonts w:ascii="宋体" w:hAnsi="宋体" w:cs="宋体"/>
          <w:color w:val="000000"/>
          <w:kern w:val="0"/>
          <w:szCs w:val="21"/>
          <w:highlight w:val="none"/>
        </w:rPr>
        <w:t>我方在参与投标前已详细研究了招标文件的所有内容，包括修改文件（如果有的话）和所有已提供的参考资料以及有关附件，我方完全明白并认为此招标文件没有倾向性，也没有存在排斥潜在投标人的内容，我方并同意招标文件的相关条款。</w:t>
      </w:r>
    </w:p>
    <w:p w14:paraId="0C51710A">
      <w:pPr>
        <w:spacing w:line="300" w:lineRule="auto"/>
        <w:ind w:firstLine="478" w:firstLineChars="228"/>
        <w:rPr>
          <w:rFonts w:ascii="宋体" w:hAnsi="宋体" w:cs="宋体"/>
          <w:color w:val="000000"/>
          <w:kern w:val="0"/>
          <w:szCs w:val="21"/>
          <w:highlight w:val="none"/>
        </w:rPr>
      </w:pPr>
      <w:r>
        <w:rPr>
          <w:rFonts w:ascii="宋体" w:hAnsi="宋体" w:cs="宋体"/>
          <w:color w:val="000000"/>
          <w:kern w:val="0"/>
          <w:szCs w:val="21"/>
          <w:highlight w:val="none"/>
        </w:rPr>
        <w:t>特此声明。</w:t>
      </w:r>
    </w:p>
    <w:p w14:paraId="688C5105">
      <w:pPr>
        <w:spacing w:line="300" w:lineRule="auto"/>
        <w:rPr>
          <w:rFonts w:ascii="宋体" w:hAnsi="宋体"/>
          <w:bCs/>
          <w:color w:val="000000"/>
          <w:szCs w:val="21"/>
          <w:highlight w:val="none"/>
        </w:rPr>
      </w:pPr>
    </w:p>
    <w:p w14:paraId="7ECD0801">
      <w:pPr>
        <w:spacing w:line="300" w:lineRule="auto"/>
        <w:rPr>
          <w:rFonts w:ascii="宋体" w:hAnsi="宋体"/>
          <w:bCs/>
          <w:color w:val="000000"/>
          <w:szCs w:val="21"/>
          <w:highlight w:val="none"/>
        </w:rPr>
      </w:pPr>
    </w:p>
    <w:p w14:paraId="6DC69316">
      <w:pPr>
        <w:spacing w:line="300" w:lineRule="auto"/>
        <w:rPr>
          <w:rFonts w:ascii="宋体" w:hAnsi="宋体"/>
          <w:bCs/>
          <w:color w:val="000000"/>
          <w:szCs w:val="21"/>
          <w:highlight w:val="none"/>
        </w:rPr>
      </w:pPr>
      <w:r>
        <w:rPr>
          <w:rFonts w:hint="eastAsia" w:ascii="宋体" w:hAnsi="宋体"/>
          <w:bCs/>
          <w:color w:val="000000"/>
          <w:szCs w:val="21"/>
          <w:highlight w:val="none"/>
        </w:rPr>
        <w:t>投标人全称（加盖公章）:</w:t>
      </w:r>
    </w:p>
    <w:p w14:paraId="76E9E997">
      <w:pPr>
        <w:spacing w:line="300" w:lineRule="auto"/>
        <w:rPr>
          <w:rFonts w:ascii="宋体" w:hAnsi="宋体"/>
          <w:color w:val="000000"/>
          <w:szCs w:val="21"/>
          <w:highlight w:val="none"/>
        </w:rPr>
      </w:pPr>
      <w:r>
        <w:rPr>
          <w:rFonts w:hint="eastAsia" w:ascii="宋体" w:hAnsi="宋体"/>
          <w:bCs/>
          <w:color w:val="000000"/>
          <w:szCs w:val="21"/>
          <w:highlight w:val="none"/>
        </w:rPr>
        <w:t>法定代表人或其投标人授权代表(</w:t>
      </w:r>
      <w:r>
        <w:rPr>
          <w:rFonts w:hint="eastAsia" w:ascii="宋体" w:hAnsi="宋体"/>
          <w:color w:val="000000"/>
          <w:szCs w:val="21"/>
          <w:highlight w:val="none"/>
        </w:rPr>
        <w:t>签字</w:t>
      </w:r>
      <w:r>
        <w:rPr>
          <w:rFonts w:hint="eastAsia" w:ascii="宋体" w:hAnsi="宋体"/>
          <w:bCs/>
          <w:color w:val="000000"/>
          <w:szCs w:val="21"/>
          <w:highlight w:val="none"/>
        </w:rPr>
        <w:t>)：</w:t>
      </w:r>
      <w:r>
        <w:rPr>
          <w:rFonts w:hint="eastAsia" w:ascii="宋体" w:hAnsi="宋体"/>
          <w:color w:val="000000"/>
          <w:szCs w:val="21"/>
          <w:highlight w:val="none"/>
        </w:rPr>
        <w:t xml:space="preserve">                日    期：     年   月   日</w:t>
      </w:r>
    </w:p>
    <w:p w14:paraId="55C35B35">
      <w:pPr>
        <w:pStyle w:val="4"/>
        <w:rPr>
          <w:rFonts w:ascii="黑体"/>
          <w:color w:val="000000"/>
          <w:highlight w:val="none"/>
        </w:rPr>
        <w:sectPr>
          <w:footerReference r:id="rId24" w:type="default"/>
          <w:pgSz w:w="11906" w:h="16838"/>
          <w:pgMar w:top="936" w:right="1021" w:bottom="936" w:left="1021" w:header="737" w:footer="737" w:gutter="0"/>
          <w:cols w:space="720" w:num="1"/>
          <w:docGrid w:type="linesAndChars" w:linePitch="312" w:charSpace="0"/>
        </w:sectPr>
      </w:pPr>
      <w:bookmarkStart w:id="1161" w:name="_Toc334795490"/>
    </w:p>
    <w:p w14:paraId="4F92E98B">
      <w:pPr>
        <w:pStyle w:val="4"/>
        <w:rPr>
          <w:rFonts w:ascii="黑体"/>
          <w:color w:val="000000"/>
          <w:highlight w:val="none"/>
        </w:rPr>
      </w:pPr>
      <w:r>
        <w:rPr>
          <w:rFonts w:hint="eastAsia" w:ascii="黑体"/>
          <w:color w:val="000000"/>
          <w:highlight w:val="none"/>
        </w:rPr>
        <w:t xml:space="preserve">格式11 </w:t>
      </w:r>
      <w:r>
        <w:rPr>
          <w:rFonts w:hint="eastAsia"/>
          <w:color w:val="000000"/>
          <w:highlight w:val="none"/>
        </w:rPr>
        <w:t xml:space="preserve">       </w:t>
      </w:r>
      <w:r>
        <w:rPr>
          <w:rFonts w:hint="eastAsia" w:ascii="黑体"/>
          <w:color w:val="000000"/>
          <w:highlight w:val="none"/>
        </w:rPr>
        <w:t xml:space="preserve">       同类项目业绩情况一览表</w:t>
      </w:r>
      <w:bookmarkEnd w:id="1161"/>
    </w:p>
    <w:p w14:paraId="5B613EA5">
      <w:pPr>
        <w:spacing w:line="300" w:lineRule="auto"/>
        <w:rPr>
          <w:rFonts w:ascii="宋体" w:hAnsi="宋体" w:cs="Arial Unicode MS"/>
          <w:bCs/>
          <w:color w:val="000000"/>
          <w:szCs w:val="21"/>
          <w:highlight w:val="none"/>
        </w:rPr>
      </w:pPr>
      <w:r>
        <w:rPr>
          <w:rFonts w:hint="eastAsia" w:ascii="宋体" w:hAnsi="宋体" w:cs="Tahoma"/>
          <w:color w:val="000000"/>
          <w:szCs w:val="21"/>
          <w:highlight w:val="none"/>
        </w:rPr>
        <w:t>项目名称</w:t>
      </w:r>
      <w:r>
        <w:rPr>
          <w:rFonts w:hint="eastAsia" w:ascii="宋体" w:hAnsi="宋体" w:cs="Tahoma"/>
          <w:color w:val="000000"/>
          <w:kern w:val="28"/>
          <w:szCs w:val="21"/>
          <w:highlight w:val="none"/>
        </w:rPr>
        <w:t xml:space="preserve">：                                              </w:t>
      </w:r>
      <w:r>
        <w:rPr>
          <w:rFonts w:ascii="宋体" w:hAnsi="宋体" w:cs="Tahoma"/>
          <w:color w:val="000000"/>
          <w:szCs w:val="21"/>
          <w:highlight w:val="none"/>
        </w:rPr>
        <w:t>项目编号：</w:t>
      </w:r>
      <w:r>
        <w:rPr>
          <w:rFonts w:hint="eastAsia" w:ascii="宋体" w:hAnsi="宋体"/>
          <w:color w:val="000000"/>
          <w:szCs w:val="21"/>
          <w:highlight w:val="none"/>
        </w:rPr>
        <w:t xml:space="preserve"> </w:t>
      </w:r>
      <w:r>
        <w:rPr>
          <w:rFonts w:hint="eastAsia" w:ascii="宋体" w:hAnsi="宋体" w:cs="Arial Unicode MS"/>
          <w:bCs/>
          <w:color w:val="000000"/>
          <w:szCs w:val="21"/>
          <w:highlight w:val="none"/>
        </w:rPr>
        <w:t xml:space="preserve">         </w:t>
      </w:r>
      <w:r>
        <w:rPr>
          <w:rFonts w:hint="eastAsia" w:ascii="宋体" w:hAnsi="宋体"/>
          <w:bCs/>
          <w:color w:val="000000"/>
          <w:szCs w:val="21"/>
          <w:highlight w:val="none"/>
        </w:rPr>
        <w:t xml:space="preserve">  </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260"/>
        <w:gridCol w:w="1260"/>
        <w:gridCol w:w="1260"/>
        <w:gridCol w:w="1620"/>
        <w:gridCol w:w="900"/>
        <w:gridCol w:w="1260"/>
        <w:gridCol w:w="1221"/>
      </w:tblGrid>
      <w:tr w14:paraId="25FBA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Align w:val="center"/>
          </w:tcPr>
          <w:p w14:paraId="47344BA6">
            <w:pPr>
              <w:spacing w:line="300" w:lineRule="auto"/>
              <w:jc w:val="center"/>
              <w:rPr>
                <w:rFonts w:ascii="宋体" w:hAnsi="宋体"/>
                <w:color w:val="000000"/>
                <w:szCs w:val="21"/>
                <w:highlight w:val="none"/>
              </w:rPr>
            </w:pPr>
            <w:r>
              <w:rPr>
                <w:rFonts w:hint="eastAsia" w:ascii="宋体" w:hAnsi="宋体"/>
                <w:color w:val="000000"/>
                <w:szCs w:val="21"/>
                <w:highlight w:val="none"/>
              </w:rPr>
              <w:t>序号</w:t>
            </w:r>
          </w:p>
        </w:tc>
        <w:tc>
          <w:tcPr>
            <w:tcW w:w="1260" w:type="dxa"/>
            <w:vAlign w:val="center"/>
          </w:tcPr>
          <w:p w14:paraId="4E818510">
            <w:pPr>
              <w:spacing w:line="300" w:lineRule="auto"/>
              <w:jc w:val="center"/>
              <w:rPr>
                <w:rFonts w:ascii="宋体" w:hAnsi="宋体"/>
                <w:color w:val="000000"/>
                <w:szCs w:val="21"/>
                <w:highlight w:val="none"/>
              </w:rPr>
            </w:pPr>
            <w:r>
              <w:rPr>
                <w:rFonts w:hint="eastAsia" w:ascii="宋体" w:hAnsi="宋体"/>
                <w:color w:val="000000"/>
                <w:szCs w:val="21"/>
                <w:highlight w:val="none"/>
              </w:rPr>
              <w:t>业主名称</w:t>
            </w:r>
          </w:p>
        </w:tc>
        <w:tc>
          <w:tcPr>
            <w:tcW w:w="1260" w:type="dxa"/>
            <w:vAlign w:val="center"/>
          </w:tcPr>
          <w:p w14:paraId="2EAA554A">
            <w:pPr>
              <w:spacing w:line="300" w:lineRule="auto"/>
              <w:jc w:val="center"/>
              <w:rPr>
                <w:rFonts w:ascii="宋体" w:hAnsi="宋体"/>
                <w:color w:val="000000"/>
                <w:szCs w:val="21"/>
                <w:highlight w:val="none"/>
              </w:rPr>
            </w:pPr>
            <w:r>
              <w:rPr>
                <w:rFonts w:hint="eastAsia" w:ascii="宋体" w:hAnsi="宋体"/>
                <w:color w:val="000000"/>
                <w:szCs w:val="21"/>
                <w:highlight w:val="none"/>
              </w:rPr>
              <w:t>项目名称</w:t>
            </w:r>
          </w:p>
        </w:tc>
        <w:tc>
          <w:tcPr>
            <w:tcW w:w="1260" w:type="dxa"/>
            <w:vAlign w:val="center"/>
          </w:tcPr>
          <w:p w14:paraId="1F3AAF99">
            <w:pPr>
              <w:spacing w:line="300" w:lineRule="auto"/>
              <w:jc w:val="center"/>
              <w:rPr>
                <w:rFonts w:ascii="宋体" w:hAnsi="宋体"/>
                <w:color w:val="000000"/>
                <w:szCs w:val="21"/>
                <w:highlight w:val="none"/>
              </w:rPr>
            </w:pPr>
            <w:r>
              <w:rPr>
                <w:rFonts w:hint="eastAsia" w:ascii="宋体" w:hAnsi="宋体"/>
                <w:color w:val="000000"/>
                <w:szCs w:val="21"/>
                <w:highlight w:val="none"/>
              </w:rPr>
              <w:t>产品名称</w:t>
            </w:r>
          </w:p>
        </w:tc>
        <w:tc>
          <w:tcPr>
            <w:tcW w:w="1620" w:type="dxa"/>
            <w:vAlign w:val="center"/>
          </w:tcPr>
          <w:p w14:paraId="2E2B1101">
            <w:pPr>
              <w:spacing w:line="300" w:lineRule="auto"/>
              <w:jc w:val="center"/>
              <w:rPr>
                <w:rFonts w:ascii="宋体" w:hAnsi="宋体"/>
                <w:color w:val="000000"/>
                <w:szCs w:val="21"/>
                <w:highlight w:val="none"/>
              </w:rPr>
            </w:pPr>
            <w:r>
              <w:rPr>
                <w:rFonts w:hint="eastAsia" w:ascii="宋体" w:hAnsi="宋体"/>
                <w:color w:val="000000"/>
                <w:szCs w:val="21"/>
                <w:highlight w:val="none"/>
              </w:rPr>
              <w:t>合同总价</w:t>
            </w:r>
          </w:p>
          <w:p w14:paraId="58E67900">
            <w:pPr>
              <w:spacing w:line="300" w:lineRule="auto"/>
              <w:jc w:val="center"/>
              <w:rPr>
                <w:rFonts w:ascii="宋体" w:hAnsi="宋体"/>
                <w:color w:val="000000"/>
                <w:szCs w:val="21"/>
                <w:highlight w:val="none"/>
              </w:rPr>
            </w:pPr>
            <w:r>
              <w:rPr>
                <w:rFonts w:hint="eastAsia" w:ascii="宋体" w:hAnsi="宋体"/>
                <w:color w:val="000000"/>
                <w:szCs w:val="21"/>
                <w:highlight w:val="none"/>
              </w:rPr>
              <w:t>（单位/万元）</w:t>
            </w:r>
          </w:p>
        </w:tc>
        <w:tc>
          <w:tcPr>
            <w:tcW w:w="900" w:type="dxa"/>
            <w:vAlign w:val="center"/>
          </w:tcPr>
          <w:p w14:paraId="4F642516">
            <w:pPr>
              <w:spacing w:line="300" w:lineRule="auto"/>
              <w:jc w:val="center"/>
              <w:rPr>
                <w:rFonts w:ascii="宋体" w:hAnsi="宋体"/>
                <w:color w:val="000000"/>
                <w:szCs w:val="21"/>
                <w:highlight w:val="none"/>
              </w:rPr>
            </w:pPr>
            <w:r>
              <w:rPr>
                <w:rFonts w:hint="eastAsia" w:ascii="宋体" w:hAnsi="宋体"/>
                <w:color w:val="000000"/>
                <w:szCs w:val="21"/>
                <w:highlight w:val="none"/>
              </w:rPr>
              <w:t>数量</w:t>
            </w:r>
          </w:p>
        </w:tc>
        <w:tc>
          <w:tcPr>
            <w:tcW w:w="1260" w:type="dxa"/>
            <w:vAlign w:val="center"/>
          </w:tcPr>
          <w:p w14:paraId="25AACC47">
            <w:pPr>
              <w:spacing w:line="300" w:lineRule="auto"/>
              <w:jc w:val="center"/>
              <w:rPr>
                <w:rFonts w:ascii="宋体" w:hAnsi="宋体"/>
                <w:color w:val="000000"/>
                <w:szCs w:val="21"/>
                <w:highlight w:val="none"/>
              </w:rPr>
            </w:pPr>
            <w:r>
              <w:rPr>
                <w:rFonts w:hint="eastAsia" w:ascii="宋体" w:hAnsi="宋体"/>
                <w:color w:val="000000"/>
                <w:szCs w:val="21"/>
                <w:highlight w:val="none"/>
              </w:rPr>
              <w:t>签约及完成时间</w:t>
            </w:r>
          </w:p>
        </w:tc>
        <w:tc>
          <w:tcPr>
            <w:tcW w:w="1221" w:type="dxa"/>
            <w:vAlign w:val="center"/>
          </w:tcPr>
          <w:p w14:paraId="336E7948">
            <w:pPr>
              <w:spacing w:line="300" w:lineRule="auto"/>
              <w:jc w:val="center"/>
              <w:rPr>
                <w:rFonts w:ascii="宋体" w:hAnsi="宋体"/>
                <w:color w:val="000000"/>
                <w:szCs w:val="21"/>
                <w:highlight w:val="none"/>
              </w:rPr>
            </w:pPr>
            <w:r>
              <w:rPr>
                <w:rFonts w:hint="eastAsia" w:ascii="宋体" w:hAnsi="宋体"/>
                <w:color w:val="000000"/>
                <w:szCs w:val="21"/>
                <w:highlight w:val="none"/>
              </w:rPr>
              <w:t>单位联系人及电话</w:t>
            </w:r>
          </w:p>
        </w:tc>
      </w:tr>
      <w:tr w14:paraId="53DF7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Align w:val="center"/>
          </w:tcPr>
          <w:p w14:paraId="20300023">
            <w:pPr>
              <w:spacing w:line="300" w:lineRule="auto"/>
              <w:jc w:val="center"/>
              <w:rPr>
                <w:rFonts w:ascii="宋体" w:hAnsi="宋体"/>
                <w:color w:val="000000"/>
                <w:szCs w:val="21"/>
                <w:highlight w:val="none"/>
              </w:rPr>
            </w:pPr>
          </w:p>
        </w:tc>
        <w:tc>
          <w:tcPr>
            <w:tcW w:w="1260" w:type="dxa"/>
            <w:vAlign w:val="center"/>
          </w:tcPr>
          <w:p w14:paraId="5E8E04B5">
            <w:pPr>
              <w:spacing w:line="300" w:lineRule="auto"/>
              <w:jc w:val="center"/>
              <w:rPr>
                <w:rFonts w:ascii="宋体" w:hAnsi="宋体"/>
                <w:color w:val="000000"/>
                <w:szCs w:val="21"/>
                <w:highlight w:val="none"/>
              </w:rPr>
            </w:pPr>
          </w:p>
        </w:tc>
        <w:tc>
          <w:tcPr>
            <w:tcW w:w="1260" w:type="dxa"/>
          </w:tcPr>
          <w:p w14:paraId="635AA1EB">
            <w:pPr>
              <w:spacing w:line="300" w:lineRule="auto"/>
              <w:jc w:val="center"/>
              <w:rPr>
                <w:rFonts w:ascii="宋体" w:hAnsi="宋体"/>
                <w:color w:val="000000"/>
                <w:szCs w:val="21"/>
                <w:highlight w:val="none"/>
              </w:rPr>
            </w:pPr>
          </w:p>
        </w:tc>
        <w:tc>
          <w:tcPr>
            <w:tcW w:w="1260" w:type="dxa"/>
            <w:vAlign w:val="center"/>
          </w:tcPr>
          <w:p w14:paraId="52C3E39E">
            <w:pPr>
              <w:spacing w:line="300" w:lineRule="auto"/>
              <w:jc w:val="center"/>
              <w:rPr>
                <w:rFonts w:ascii="宋体" w:hAnsi="宋体"/>
                <w:color w:val="000000"/>
                <w:szCs w:val="21"/>
                <w:highlight w:val="none"/>
              </w:rPr>
            </w:pPr>
          </w:p>
        </w:tc>
        <w:tc>
          <w:tcPr>
            <w:tcW w:w="1620" w:type="dxa"/>
            <w:vAlign w:val="center"/>
          </w:tcPr>
          <w:p w14:paraId="73C37C41">
            <w:pPr>
              <w:spacing w:line="300" w:lineRule="auto"/>
              <w:jc w:val="center"/>
              <w:rPr>
                <w:rFonts w:ascii="宋体" w:hAnsi="宋体"/>
                <w:color w:val="000000"/>
                <w:szCs w:val="21"/>
                <w:highlight w:val="none"/>
              </w:rPr>
            </w:pPr>
          </w:p>
        </w:tc>
        <w:tc>
          <w:tcPr>
            <w:tcW w:w="900" w:type="dxa"/>
          </w:tcPr>
          <w:p w14:paraId="0A69410C">
            <w:pPr>
              <w:spacing w:line="300" w:lineRule="auto"/>
              <w:jc w:val="center"/>
              <w:rPr>
                <w:rFonts w:ascii="宋体" w:hAnsi="宋体"/>
                <w:color w:val="000000"/>
                <w:szCs w:val="21"/>
                <w:highlight w:val="none"/>
              </w:rPr>
            </w:pPr>
          </w:p>
        </w:tc>
        <w:tc>
          <w:tcPr>
            <w:tcW w:w="1260" w:type="dxa"/>
            <w:vAlign w:val="center"/>
          </w:tcPr>
          <w:p w14:paraId="556B2B8A">
            <w:pPr>
              <w:spacing w:line="300" w:lineRule="auto"/>
              <w:jc w:val="center"/>
              <w:rPr>
                <w:rFonts w:ascii="宋体" w:hAnsi="宋体"/>
                <w:color w:val="000000"/>
                <w:szCs w:val="21"/>
                <w:highlight w:val="none"/>
              </w:rPr>
            </w:pPr>
          </w:p>
        </w:tc>
        <w:tc>
          <w:tcPr>
            <w:tcW w:w="1221" w:type="dxa"/>
            <w:vAlign w:val="center"/>
          </w:tcPr>
          <w:p w14:paraId="7191EBA3">
            <w:pPr>
              <w:spacing w:line="300" w:lineRule="auto"/>
              <w:jc w:val="center"/>
              <w:rPr>
                <w:rFonts w:ascii="宋体" w:hAnsi="宋体"/>
                <w:color w:val="000000"/>
                <w:szCs w:val="21"/>
                <w:highlight w:val="none"/>
              </w:rPr>
            </w:pPr>
          </w:p>
        </w:tc>
      </w:tr>
      <w:tr w14:paraId="488D9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Align w:val="center"/>
          </w:tcPr>
          <w:p w14:paraId="2AA6D331">
            <w:pPr>
              <w:spacing w:line="300" w:lineRule="auto"/>
              <w:jc w:val="center"/>
              <w:rPr>
                <w:rFonts w:ascii="宋体" w:hAnsi="宋体"/>
                <w:color w:val="000000"/>
                <w:szCs w:val="21"/>
                <w:highlight w:val="none"/>
              </w:rPr>
            </w:pPr>
          </w:p>
        </w:tc>
        <w:tc>
          <w:tcPr>
            <w:tcW w:w="1260" w:type="dxa"/>
            <w:vAlign w:val="center"/>
          </w:tcPr>
          <w:p w14:paraId="346D400E">
            <w:pPr>
              <w:spacing w:line="300" w:lineRule="auto"/>
              <w:jc w:val="center"/>
              <w:rPr>
                <w:rFonts w:ascii="宋体" w:hAnsi="宋体"/>
                <w:color w:val="000000"/>
                <w:szCs w:val="21"/>
                <w:highlight w:val="none"/>
              </w:rPr>
            </w:pPr>
          </w:p>
        </w:tc>
        <w:tc>
          <w:tcPr>
            <w:tcW w:w="1260" w:type="dxa"/>
          </w:tcPr>
          <w:p w14:paraId="512239AE">
            <w:pPr>
              <w:spacing w:line="300" w:lineRule="auto"/>
              <w:jc w:val="center"/>
              <w:rPr>
                <w:rFonts w:ascii="宋体" w:hAnsi="宋体"/>
                <w:color w:val="000000"/>
                <w:szCs w:val="21"/>
                <w:highlight w:val="none"/>
              </w:rPr>
            </w:pPr>
          </w:p>
        </w:tc>
        <w:tc>
          <w:tcPr>
            <w:tcW w:w="1260" w:type="dxa"/>
            <w:vAlign w:val="center"/>
          </w:tcPr>
          <w:p w14:paraId="399B78DA">
            <w:pPr>
              <w:spacing w:line="300" w:lineRule="auto"/>
              <w:jc w:val="center"/>
              <w:rPr>
                <w:rFonts w:ascii="宋体" w:hAnsi="宋体"/>
                <w:color w:val="000000"/>
                <w:szCs w:val="21"/>
                <w:highlight w:val="none"/>
              </w:rPr>
            </w:pPr>
          </w:p>
        </w:tc>
        <w:tc>
          <w:tcPr>
            <w:tcW w:w="1620" w:type="dxa"/>
            <w:vAlign w:val="center"/>
          </w:tcPr>
          <w:p w14:paraId="788101E5">
            <w:pPr>
              <w:spacing w:line="300" w:lineRule="auto"/>
              <w:jc w:val="center"/>
              <w:rPr>
                <w:rFonts w:ascii="宋体" w:hAnsi="宋体"/>
                <w:color w:val="000000"/>
                <w:szCs w:val="21"/>
                <w:highlight w:val="none"/>
              </w:rPr>
            </w:pPr>
          </w:p>
        </w:tc>
        <w:tc>
          <w:tcPr>
            <w:tcW w:w="900" w:type="dxa"/>
          </w:tcPr>
          <w:p w14:paraId="0A1741DE">
            <w:pPr>
              <w:spacing w:line="300" w:lineRule="auto"/>
              <w:jc w:val="center"/>
              <w:rPr>
                <w:rFonts w:ascii="宋体" w:hAnsi="宋体"/>
                <w:color w:val="000000"/>
                <w:szCs w:val="21"/>
                <w:highlight w:val="none"/>
              </w:rPr>
            </w:pPr>
          </w:p>
        </w:tc>
        <w:tc>
          <w:tcPr>
            <w:tcW w:w="1260" w:type="dxa"/>
            <w:vAlign w:val="center"/>
          </w:tcPr>
          <w:p w14:paraId="3D6EDDBB">
            <w:pPr>
              <w:spacing w:line="300" w:lineRule="auto"/>
              <w:jc w:val="center"/>
              <w:rPr>
                <w:rFonts w:ascii="宋体" w:hAnsi="宋体"/>
                <w:color w:val="000000"/>
                <w:szCs w:val="21"/>
                <w:highlight w:val="none"/>
              </w:rPr>
            </w:pPr>
          </w:p>
        </w:tc>
        <w:tc>
          <w:tcPr>
            <w:tcW w:w="1221" w:type="dxa"/>
            <w:vAlign w:val="center"/>
          </w:tcPr>
          <w:p w14:paraId="55262557">
            <w:pPr>
              <w:spacing w:line="300" w:lineRule="auto"/>
              <w:jc w:val="center"/>
              <w:rPr>
                <w:rFonts w:ascii="宋体" w:hAnsi="宋体"/>
                <w:color w:val="000000"/>
                <w:szCs w:val="21"/>
                <w:highlight w:val="none"/>
              </w:rPr>
            </w:pPr>
          </w:p>
        </w:tc>
      </w:tr>
      <w:tr w14:paraId="4AE0E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Align w:val="center"/>
          </w:tcPr>
          <w:p w14:paraId="4CC8C736">
            <w:pPr>
              <w:spacing w:line="300" w:lineRule="auto"/>
              <w:jc w:val="center"/>
              <w:rPr>
                <w:rFonts w:ascii="宋体" w:hAnsi="宋体"/>
                <w:color w:val="000000"/>
                <w:szCs w:val="21"/>
                <w:highlight w:val="none"/>
              </w:rPr>
            </w:pPr>
          </w:p>
        </w:tc>
        <w:tc>
          <w:tcPr>
            <w:tcW w:w="1260" w:type="dxa"/>
            <w:vAlign w:val="center"/>
          </w:tcPr>
          <w:p w14:paraId="03AA89BA">
            <w:pPr>
              <w:spacing w:line="300" w:lineRule="auto"/>
              <w:jc w:val="center"/>
              <w:rPr>
                <w:rFonts w:ascii="宋体" w:hAnsi="宋体"/>
                <w:color w:val="000000"/>
                <w:szCs w:val="21"/>
                <w:highlight w:val="none"/>
              </w:rPr>
            </w:pPr>
          </w:p>
        </w:tc>
        <w:tc>
          <w:tcPr>
            <w:tcW w:w="1260" w:type="dxa"/>
          </w:tcPr>
          <w:p w14:paraId="30EE0AE4">
            <w:pPr>
              <w:spacing w:line="300" w:lineRule="auto"/>
              <w:jc w:val="center"/>
              <w:rPr>
                <w:rFonts w:ascii="宋体" w:hAnsi="宋体"/>
                <w:color w:val="000000"/>
                <w:szCs w:val="21"/>
                <w:highlight w:val="none"/>
              </w:rPr>
            </w:pPr>
          </w:p>
        </w:tc>
        <w:tc>
          <w:tcPr>
            <w:tcW w:w="1260" w:type="dxa"/>
            <w:vAlign w:val="center"/>
          </w:tcPr>
          <w:p w14:paraId="23F5C824">
            <w:pPr>
              <w:spacing w:line="300" w:lineRule="auto"/>
              <w:jc w:val="center"/>
              <w:rPr>
                <w:rFonts w:ascii="宋体" w:hAnsi="宋体"/>
                <w:color w:val="000000"/>
                <w:szCs w:val="21"/>
                <w:highlight w:val="none"/>
              </w:rPr>
            </w:pPr>
          </w:p>
        </w:tc>
        <w:tc>
          <w:tcPr>
            <w:tcW w:w="1620" w:type="dxa"/>
            <w:vAlign w:val="center"/>
          </w:tcPr>
          <w:p w14:paraId="5B9B3CB0">
            <w:pPr>
              <w:spacing w:line="300" w:lineRule="auto"/>
              <w:jc w:val="center"/>
              <w:rPr>
                <w:rFonts w:ascii="宋体" w:hAnsi="宋体"/>
                <w:color w:val="000000"/>
                <w:szCs w:val="21"/>
                <w:highlight w:val="none"/>
              </w:rPr>
            </w:pPr>
          </w:p>
        </w:tc>
        <w:tc>
          <w:tcPr>
            <w:tcW w:w="900" w:type="dxa"/>
          </w:tcPr>
          <w:p w14:paraId="29069135">
            <w:pPr>
              <w:spacing w:line="300" w:lineRule="auto"/>
              <w:jc w:val="center"/>
              <w:rPr>
                <w:rFonts w:ascii="宋体" w:hAnsi="宋体"/>
                <w:color w:val="000000"/>
                <w:szCs w:val="21"/>
                <w:highlight w:val="none"/>
              </w:rPr>
            </w:pPr>
          </w:p>
        </w:tc>
        <w:tc>
          <w:tcPr>
            <w:tcW w:w="1260" w:type="dxa"/>
            <w:vAlign w:val="center"/>
          </w:tcPr>
          <w:p w14:paraId="03131706">
            <w:pPr>
              <w:spacing w:line="300" w:lineRule="auto"/>
              <w:jc w:val="center"/>
              <w:rPr>
                <w:rFonts w:ascii="宋体" w:hAnsi="宋体"/>
                <w:color w:val="000000"/>
                <w:szCs w:val="21"/>
                <w:highlight w:val="none"/>
              </w:rPr>
            </w:pPr>
          </w:p>
        </w:tc>
        <w:tc>
          <w:tcPr>
            <w:tcW w:w="1221" w:type="dxa"/>
            <w:vAlign w:val="center"/>
          </w:tcPr>
          <w:p w14:paraId="08936F40">
            <w:pPr>
              <w:spacing w:line="300" w:lineRule="auto"/>
              <w:jc w:val="center"/>
              <w:rPr>
                <w:rFonts w:ascii="宋体" w:hAnsi="宋体"/>
                <w:color w:val="000000"/>
                <w:szCs w:val="21"/>
                <w:highlight w:val="none"/>
              </w:rPr>
            </w:pPr>
          </w:p>
        </w:tc>
      </w:tr>
      <w:tr w14:paraId="0732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Align w:val="center"/>
          </w:tcPr>
          <w:p w14:paraId="4B84BC32">
            <w:pPr>
              <w:spacing w:line="300" w:lineRule="auto"/>
              <w:jc w:val="center"/>
              <w:rPr>
                <w:rFonts w:ascii="宋体" w:hAnsi="宋体"/>
                <w:color w:val="000000"/>
                <w:szCs w:val="21"/>
                <w:highlight w:val="none"/>
              </w:rPr>
            </w:pPr>
          </w:p>
        </w:tc>
        <w:tc>
          <w:tcPr>
            <w:tcW w:w="1260" w:type="dxa"/>
            <w:vAlign w:val="center"/>
          </w:tcPr>
          <w:p w14:paraId="2C54D0B2">
            <w:pPr>
              <w:spacing w:line="300" w:lineRule="auto"/>
              <w:jc w:val="center"/>
              <w:rPr>
                <w:rFonts w:ascii="宋体" w:hAnsi="宋体"/>
                <w:color w:val="000000"/>
                <w:szCs w:val="21"/>
                <w:highlight w:val="none"/>
              </w:rPr>
            </w:pPr>
          </w:p>
        </w:tc>
        <w:tc>
          <w:tcPr>
            <w:tcW w:w="1260" w:type="dxa"/>
          </w:tcPr>
          <w:p w14:paraId="31FFB9E2">
            <w:pPr>
              <w:spacing w:line="300" w:lineRule="auto"/>
              <w:jc w:val="center"/>
              <w:rPr>
                <w:rFonts w:ascii="宋体" w:hAnsi="宋体"/>
                <w:color w:val="000000"/>
                <w:szCs w:val="21"/>
                <w:highlight w:val="none"/>
              </w:rPr>
            </w:pPr>
          </w:p>
        </w:tc>
        <w:tc>
          <w:tcPr>
            <w:tcW w:w="1260" w:type="dxa"/>
            <w:vAlign w:val="center"/>
          </w:tcPr>
          <w:p w14:paraId="5E0F469D">
            <w:pPr>
              <w:spacing w:line="300" w:lineRule="auto"/>
              <w:jc w:val="center"/>
              <w:rPr>
                <w:rFonts w:ascii="宋体" w:hAnsi="宋体"/>
                <w:color w:val="000000"/>
                <w:szCs w:val="21"/>
                <w:highlight w:val="none"/>
              </w:rPr>
            </w:pPr>
          </w:p>
        </w:tc>
        <w:tc>
          <w:tcPr>
            <w:tcW w:w="1620" w:type="dxa"/>
            <w:vAlign w:val="center"/>
          </w:tcPr>
          <w:p w14:paraId="0262F8BC">
            <w:pPr>
              <w:spacing w:line="300" w:lineRule="auto"/>
              <w:jc w:val="center"/>
              <w:rPr>
                <w:rFonts w:ascii="宋体" w:hAnsi="宋体"/>
                <w:color w:val="000000"/>
                <w:szCs w:val="21"/>
                <w:highlight w:val="none"/>
              </w:rPr>
            </w:pPr>
          </w:p>
        </w:tc>
        <w:tc>
          <w:tcPr>
            <w:tcW w:w="900" w:type="dxa"/>
          </w:tcPr>
          <w:p w14:paraId="413133E2">
            <w:pPr>
              <w:spacing w:line="300" w:lineRule="auto"/>
              <w:jc w:val="center"/>
              <w:rPr>
                <w:rFonts w:ascii="宋体" w:hAnsi="宋体"/>
                <w:color w:val="000000"/>
                <w:szCs w:val="21"/>
                <w:highlight w:val="none"/>
              </w:rPr>
            </w:pPr>
          </w:p>
        </w:tc>
        <w:tc>
          <w:tcPr>
            <w:tcW w:w="1260" w:type="dxa"/>
            <w:vAlign w:val="center"/>
          </w:tcPr>
          <w:p w14:paraId="2603F1F9">
            <w:pPr>
              <w:spacing w:line="300" w:lineRule="auto"/>
              <w:jc w:val="center"/>
              <w:rPr>
                <w:rFonts w:ascii="宋体" w:hAnsi="宋体"/>
                <w:color w:val="000000"/>
                <w:szCs w:val="21"/>
                <w:highlight w:val="none"/>
              </w:rPr>
            </w:pPr>
          </w:p>
        </w:tc>
        <w:tc>
          <w:tcPr>
            <w:tcW w:w="1221" w:type="dxa"/>
            <w:vAlign w:val="center"/>
          </w:tcPr>
          <w:p w14:paraId="0EF419D3">
            <w:pPr>
              <w:spacing w:line="300" w:lineRule="auto"/>
              <w:jc w:val="center"/>
              <w:rPr>
                <w:rFonts w:ascii="宋体" w:hAnsi="宋体"/>
                <w:color w:val="000000"/>
                <w:szCs w:val="21"/>
                <w:highlight w:val="none"/>
              </w:rPr>
            </w:pPr>
          </w:p>
        </w:tc>
      </w:tr>
      <w:tr w14:paraId="701B5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Align w:val="center"/>
          </w:tcPr>
          <w:p w14:paraId="1E9DEE28">
            <w:pPr>
              <w:spacing w:line="300" w:lineRule="auto"/>
              <w:jc w:val="center"/>
              <w:rPr>
                <w:rFonts w:ascii="宋体" w:hAnsi="宋体"/>
                <w:color w:val="000000"/>
                <w:szCs w:val="21"/>
                <w:highlight w:val="none"/>
              </w:rPr>
            </w:pPr>
          </w:p>
        </w:tc>
        <w:tc>
          <w:tcPr>
            <w:tcW w:w="1260" w:type="dxa"/>
            <w:vAlign w:val="center"/>
          </w:tcPr>
          <w:p w14:paraId="5BC4549E">
            <w:pPr>
              <w:spacing w:line="300" w:lineRule="auto"/>
              <w:jc w:val="center"/>
              <w:rPr>
                <w:rFonts w:ascii="宋体" w:hAnsi="宋体"/>
                <w:color w:val="000000"/>
                <w:szCs w:val="21"/>
                <w:highlight w:val="none"/>
              </w:rPr>
            </w:pPr>
          </w:p>
        </w:tc>
        <w:tc>
          <w:tcPr>
            <w:tcW w:w="1260" w:type="dxa"/>
          </w:tcPr>
          <w:p w14:paraId="44714F22">
            <w:pPr>
              <w:spacing w:line="300" w:lineRule="auto"/>
              <w:jc w:val="center"/>
              <w:rPr>
                <w:rFonts w:ascii="宋体" w:hAnsi="宋体"/>
                <w:color w:val="000000"/>
                <w:szCs w:val="21"/>
                <w:highlight w:val="none"/>
              </w:rPr>
            </w:pPr>
          </w:p>
        </w:tc>
        <w:tc>
          <w:tcPr>
            <w:tcW w:w="1260" w:type="dxa"/>
            <w:vAlign w:val="center"/>
          </w:tcPr>
          <w:p w14:paraId="1F731DBF">
            <w:pPr>
              <w:spacing w:line="300" w:lineRule="auto"/>
              <w:jc w:val="center"/>
              <w:rPr>
                <w:rFonts w:ascii="宋体" w:hAnsi="宋体"/>
                <w:color w:val="000000"/>
                <w:szCs w:val="21"/>
                <w:highlight w:val="none"/>
              </w:rPr>
            </w:pPr>
          </w:p>
        </w:tc>
        <w:tc>
          <w:tcPr>
            <w:tcW w:w="1620" w:type="dxa"/>
            <w:vAlign w:val="center"/>
          </w:tcPr>
          <w:p w14:paraId="63962F91">
            <w:pPr>
              <w:spacing w:line="300" w:lineRule="auto"/>
              <w:jc w:val="center"/>
              <w:rPr>
                <w:rFonts w:ascii="宋体" w:hAnsi="宋体"/>
                <w:color w:val="000000"/>
                <w:szCs w:val="21"/>
                <w:highlight w:val="none"/>
              </w:rPr>
            </w:pPr>
          </w:p>
        </w:tc>
        <w:tc>
          <w:tcPr>
            <w:tcW w:w="900" w:type="dxa"/>
          </w:tcPr>
          <w:p w14:paraId="571C87E1">
            <w:pPr>
              <w:spacing w:line="300" w:lineRule="auto"/>
              <w:jc w:val="center"/>
              <w:rPr>
                <w:rFonts w:ascii="宋体" w:hAnsi="宋体"/>
                <w:color w:val="000000"/>
                <w:szCs w:val="21"/>
                <w:highlight w:val="none"/>
              </w:rPr>
            </w:pPr>
          </w:p>
        </w:tc>
        <w:tc>
          <w:tcPr>
            <w:tcW w:w="1260" w:type="dxa"/>
            <w:vAlign w:val="center"/>
          </w:tcPr>
          <w:p w14:paraId="4116C389">
            <w:pPr>
              <w:spacing w:line="300" w:lineRule="auto"/>
              <w:jc w:val="center"/>
              <w:rPr>
                <w:rFonts w:ascii="宋体" w:hAnsi="宋体"/>
                <w:color w:val="000000"/>
                <w:szCs w:val="21"/>
                <w:highlight w:val="none"/>
              </w:rPr>
            </w:pPr>
          </w:p>
        </w:tc>
        <w:tc>
          <w:tcPr>
            <w:tcW w:w="1221" w:type="dxa"/>
            <w:vAlign w:val="center"/>
          </w:tcPr>
          <w:p w14:paraId="25243C87">
            <w:pPr>
              <w:spacing w:line="300" w:lineRule="auto"/>
              <w:jc w:val="center"/>
              <w:rPr>
                <w:rFonts w:ascii="宋体" w:hAnsi="宋体"/>
                <w:color w:val="000000"/>
                <w:szCs w:val="21"/>
                <w:highlight w:val="none"/>
              </w:rPr>
            </w:pPr>
          </w:p>
        </w:tc>
      </w:tr>
      <w:tr w14:paraId="3EEC6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Align w:val="center"/>
          </w:tcPr>
          <w:p w14:paraId="34196ABA">
            <w:pPr>
              <w:spacing w:line="300" w:lineRule="auto"/>
              <w:jc w:val="center"/>
              <w:rPr>
                <w:rFonts w:ascii="宋体" w:hAnsi="宋体"/>
                <w:color w:val="000000"/>
                <w:szCs w:val="21"/>
                <w:highlight w:val="none"/>
              </w:rPr>
            </w:pPr>
          </w:p>
        </w:tc>
        <w:tc>
          <w:tcPr>
            <w:tcW w:w="1260" w:type="dxa"/>
            <w:vAlign w:val="center"/>
          </w:tcPr>
          <w:p w14:paraId="1483A109">
            <w:pPr>
              <w:spacing w:line="300" w:lineRule="auto"/>
              <w:jc w:val="center"/>
              <w:rPr>
                <w:rFonts w:ascii="宋体" w:hAnsi="宋体"/>
                <w:color w:val="000000"/>
                <w:szCs w:val="21"/>
                <w:highlight w:val="none"/>
              </w:rPr>
            </w:pPr>
          </w:p>
        </w:tc>
        <w:tc>
          <w:tcPr>
            <w:tcW w:w="1260" w:type="dxa"/>
          </w:tcPr>
          <w:p w14:paraId="2A9237DC">
            <w:pPr>
              <w:spacing w:line="300" w:lineRule="auto"/>
              <w:jc w:val="center"/>
              <w:rPr>
                <w:rFonts w:ascii="宋体" w:hAnsi="宋体"/>
                <w:color w:val="000000"/>
                <w:szCs w:val="21"/>
                <w:highlight w:val="none"/>
              </w:rPr>
            </w:pPr>
          </w:p>
        </w:tc>
        <w:tc>
          <w:tcPr>
            <w:tcW w:w="1260" w:type="dxa"/>
            <w:vAlign w:val="center"/>
          </w:tcPr>
          <w:p w14:paraId="6686DBD4">
            <w:pPr>
              <w:spacing w:line="300" w:lineRule="auto"/>
              <w:jc w:val="center"/>
              <w:rPr>
                <w:rFonts w:ascii="宋体" w:hAnsi="宋体"/>
                <w:color w:val="000000"/>
                <w:szCs w:val="21"/>
                <w:highlight w:val="none"/>
              </w:rPr>
            </w:pPr>
          </w:p>
        </w:tc>
        <w:tc>
          <w:tcPr>
            <w:tcW w:w="1620" w:type="dxa"/>
            <w:vAlign w:val="center"/>
          </w:tcPr>
          <w:p w14:paraId="0041408C">
            <w:pPr>
              <w:spacing w:line="300" w:lineRule="auto"/>
              <w:jc w:val="center"/>
              <w:rPr>
                <w:rFonts w:ascii="宋体" w:hAnsi="宋体"/>
                <w:color w:val="000000"/>
                <w:szCs w:val="21"/>
                <w:highlight w:val="none"/>
              </w:rPr>
            </w:pPr>
          </w:p>
        </w:tc>
        <w:tc>
          <w:tcPr>
            <w:tcW w:w="900" w:type="dxa"/>
          </w:tcPr>
          <w:p w14:paraId="692DFEB0">
            <w:pPr>
              <w:spacing w:line="300" w:lineRule="auto"/>
              <w:jc w:val="center"/>
              <w:rPr>
                <w:rFonts w:ascii="宋体" w:hAnsi="宋体"/>
                <w:color w:val="000000"/>
                <w:szCs w:val="21"/>
                <w:highlight w:val="none"/>
              </w:rPr>
            </w:pPr>
          </w:p>
        </w:tc>
        <w:tc>
          <w:tcPr>
            <w:tcW w:w="1260" w:type="dxa"/>
            <w:vAlign w:val="center"/>
          </w:tcPr>
          <w:p w14:paraId="48B4DC32">
            <w:pPr>
              <w:spacing w:line="300" w:lineRule="auto"/>
              <w:jc w:val="center"/>
              <w:rPr>
                <w:rFonts w:ascii="宋体" w:hAnsi="宋体"/>
                <w:color w:val="000000"/>
                <w:szCs w:val="21"/>
                <w:highlight w:val="none"/>
              </w:rPr>
            </w:pPr>
          </w:p>
        </w:tc>
        <w:tc>
          <w:tcPr>
            <w:tcW w:w="1221" w:type="dxa"/>
            <w:vAlign w:val="center"/>
          </w:tcPr>
          <w:p w14:paraId="3CC8BBBC">
            <w:pPr>
              <w:spacing w:line="300" w:lineRule="auto"/>
              <w:jc w:val="center"/>
              <w:rPr>
                <w:rFonts w:ascii="宋体" w:hAnsi="宋体"/>
                <w:color w:val="000000"/>
                <w:szCs w:val="21"/>
                <w:highlight w:val="none"/>
              </w:rPr>
            </w:pPr>
          </w:p>
        </w:tc>
      </w:tr>
    </w:tbl>
    <w:p w14:paraId="42F727DA">
      <w:pPr>
        <w:spacing w:line="300" w:lineRule="auto"/>
        <w:rPr>
          <w:rFonts w:ascii="宋体" w:hAnsi="宋体"/>
          <w:b/>
          <w:color w:val="000000"/>
          <w:szCs w:val="21"/>
          <w:highlight w:val="none"/>
        </w:rPr>
      </w:pPr>
      <w:r>
        <w:rPr>
          <w:rFonts w:hint="eastAsia" w:ascii="宋体" w:hAnsi="宋体"/>
          <w:b/>
          <w:color w:val="000000"/>
          <w:szCs w:val="21"/>
          <w:highlight w:val="none"/>
        </w:rPr>
        <w:t>注：请附上中标通知书、合同、验收报告等同类业绩评价证明资料，评审细则另有要求的，按评审细则提供。</w:t>
      </w:r>
    </w:p>
    <w:p w14:paraId="0A08380B">
      <w:pPr>
        <w:spacing w:line="300" w:lineRule="auto"/>
        <w:rPr>
          <w:rFonts w:ascii="宋体" w:hAnsi="宋体"/>
          <w:bCs/>
          <w:color w:val="000000"/>
          <w:szCs w:val="21"/>
          <w:highlight w:val="none"/>
        </w:rPr>
      </w:pPr>
    </w:p>
    <w:p w14:paraId="26541EB5">
      <w:pPr>
        <w:spacing w:line="300" w:lineRule="auto"/>
        <w:rPr>
          <w:rFonts w:ascii="宋体" w:hAnsi="宋体"/>
          <w:bCs/>
          <w:color w:val="000000"/>
          <w:szCs w:val="21"/>
          <w:highlight w:val="none"/>
        </w:rPr>
      </w:pPr>
    </w:p>
    <w:p w14:paraId="2C1EE9FF">
      <w:pPr>
        <w:spacing w:line="300" w:lineRule="auto"/>
        <w:rPr>
          <w:rFonts w:ascii="宋体" w:hAnsi="宋体"/>
          <w:bCs/>
          <w:color w:val="000000"/>
          <w:szCs w:val="21"/>
          <w:highlight w:val="none"/>
        </w:rPr>
      </w:pPr>
      <w:r>
        <w:rPr>
          <w:rFonts w:hint="eastAsia" w:ascii="宋体" w:hAnsi="宋体"/>
          <w:bCs/>
          <w:color w:val="000000"/>
          <w:szCs w:val="21"/>
          <w:highlight w:val="none"/>
        </w:rPr>
        <w:t>投标人全称（加盖公章）:</w:t>
      </w:r>
    </w:p>
    <w:p w14:paraId="2499EB3F">
      <w:pPr>
        <w:spacing w:line="300" w:lineRule="auto"/>
        <w:rPr>
          <w:rFonts w:ascii="宋体" w:hAnsi="宋体"/>
          <w:bCs/>
          <w:color w:val="000000"/>
          <w:szCs w:val="21"/>
          <w:highlight w:val="none"/>
        </w:rPr>
      </w:pPr>
      <w:r>
        <w:rPr>
          <w:rFonts w:hint="eastAsia" w:ascii="宋体" w:hAnsi="宋体"/>
          <w:bCs/>
          <w:color w:val="000000"/>
          <w:szCs w:val="21"/>
          <w:highlight w:val="none"/>
        </w:rPr>
        <w:t>法定代表人或其投标人授权代表(签字)：                   日    期：     年   月   日</w:t>
      </w:r>
    </w:p>
    <w:p w14:paraId="030E7D0F">
      <w:pPr>
        <w:spacing w:line="300" w:lineRule="auto"/>
        <w:rPr>
          <w:rFonts w:ascii="宋体" w:hAnsi="宋体"/>
          <w:bCs/>
          <w:color w:val="000000"/>
          <w:szCs w:val="21"/>
          <w:highlight w:val="none"/>
        </w:rPr>
      </w:pPr>
    </w:p>
    <w:p w14:paraId="7997A02C">
      <w:pPr>
        <w:spacing w:line="300" w:lineRule="auto"/>
        <w:rPr>
          <w:rFonts w:ascii="宋体" w:hAnsi="宋体"/>
          <w:bCs/>
          <w:color w:val="000000"/>
          <w:szCs w:val="21"/>
          <w:highlight w:val="none"/>
        </w:rPr>
      </w:pPr>
    </w:p>
    <w:p w14:paraId="6CE21721">
      <w:pPr>
        <w:spacing w:line="300" w:lineRule="auto"/>
        <w:rPr>
          <w:rFonts w:ascii="宋体" w:hAnsi="宋体"/>
          <w:bCs/>
          <w:color w:val="000000"/>
          <w:szCs w:val="21"/>
          <w:highlight w:val="none"/>
        </w:rPr>
      </w:pPr>
    </w:p>
    <w:p w14:paraId="71DB6DCF">
      <w:pPr>
        <w:spacing w:line="300" w:lineRule="auto"/>
        <w:rPr>
          <w:rFonts w:ascii="宋体" w:hAnsi="宋体"/>
          <w:bCs/>
          <w:color w:val="000000"/>
          <w:szCs w:val="21"/>
          <w:highlight w:val="none"/>
        </w:rPr>
      </w:pPr>
    </w:p>
    <w:p w14:paraId="3C18FFF9">
      <w:pPr>
        <w:spacing w:line="300" w:lineRule="auto"/>
        <w:rPr>
          <w:rFonts w:ascii="宋体" w:hAnsi="宋体"/>
          <w:bCs/>
          <w:color w:val="000000"/>
          <w:szCs w:val="21"/>
          <w:highlight w:val="none"/>
        </w:rPr>
      </w:pPr>
    </w:p>
    <w:p w14:paraId="7CE606E8">
      <w:pPr>
        <w:spacing w:line="300" w:lineRule="auto"/>
        <w:rPr>
          <w:rFonts w:ascii="宋体" w:hAnsi="宋体"/>
          <w:bCs/>
          <w:color w:val="000000"/>
          <w:szCs w:val="21"/>
          <w:highlight w:val="none"/>
        </w:rPr>
      </w:pPr>
    </w:p>
    <w:p w14:paraId="7D393C14">
      <w:pPr>
        <w:spacing w:line="300" w:lineRule="auto"/>
        <w:rPr>
          <w:rFonts w:ascii="宋体" w:hAnsi="宋体"/>
          <w:bCs/>
          <w:color w:val="000000"/>
          <w:szCs w:val="21"/>
          <w:highlight w:val="none"/>
        </w:rPr>
      </w:pPr>
    </w:p>
    <w:p w14:paraId="01FF96FD">
      <w:pPr>
        <w:spacing w:line="300" w:lineRule="auto"/>
        <w:rPr>
          <w:rFonts w:ascii="宋体" w:hAnsi="宋体"/>
          <w:bCs/>
          <w:color w:val="000000"/>
          <w:szCs w:val="21"/>
          <w:highlight w:val="none"/>
        </w:rPr>
      </w:pPr>
    </w:p>
    <w:p w14:paraId="6C19CABE">
      <w:pPr>
        <w:spacing w:line="300" w:lineRule="auto"/>
        <w:rPr>
          <w:rFonts w:ascii="宋体" w:hAnsi="宋体"/>
          <w:bCs/>
          <w:color w:val="000000"/>
          <w:szCs w:val="21"/>
          <w:highlight w:val="none"/>
        </w:rPr>
      </w:pPr>
    </w:p>
    <w:p w14:paraId="0D750AA0">
      <w:pPr>
        <w:spacing w:line="300" w:lineRule="auto"/>
        <w:rPr>
          <w:rFonts w:ascii="宋体" w:hAnsi="宋体"/>
          <w:bCs/>
          <w:color w:val="000000"/>
          <w:szCs w:val="21"/>
          <w:highlight w:val="none"/>
        </w:rPr>
      </w:pPr>
    </w:p>
    <w:p w14:paraId="072FEE73">
      <w:pPr>
        <w:spacing w:line="300" w:lineRule="auto"/>
        <w:rPr>
          <w:rFonts w:ascii="宋体" w:hAnsi="宋体"/>
          <w:bCs/>
          <w:color w:val="000000"/>
          <w:szCs w:val="21"/>
          <w:highlight w:val="none"/>
        </w:rPr>
      </w:pPr>
    </w:p>
    <w:p w14:paraId="50FEB347">
      <w:pPr>
        <w:pStyle w:val="4"/>
        <w:spacing w:line="480" w:lineRule="auto"/>
        <w:rPr>
          <w:rFonts w:ascii="黑体"/>
          <w:color w:val="000000"/>
          <w:highlight w:val="none"/>
        </w:rPr>
        <w:sectPr>
          <w:footerReference r:id="rId25" w:type="default"/>
          <w:pgSz w:w="11906" w:h="16838"/>
          <w:pgMar w:top="936" w:right="1021" w:bottom="936" w:left="1021" w:header="737" w:footer="737" w:gutter="0"/>
          <w:cols w:space="720" w:num="1"/>
          <w:docGrid w:type="linesAndChars" w:linePitch="312" w:charSpace="0"/>
        </w:sectPr>
      </w:pPr>
      <w:bookmarkStart w:id="1162" w:name="_Toc334795492"/>
      <w:bookmarkStart w:id="1163" w:name="_Toc238282344"/>
      <w:bookmarkStart w:id="1164" w:name="_Toc228644985"/>
      <w:bookmarkStart w:id="1165" w:name="_Toc42951056"/>
      <w:bookmarkStart w:id="1166" w:name="_Toc228899514"/>
      <w:bookmarkStart w:id="1167" w:name="_Toc223939114"/>
      <w:bookmarkStart w:id="1168" w:name="_Toc224435734"/>
      <w:bookmarkStart w:id="1169" w:name="_Toc245819142"/>
      <w:bookmarkStart w:id="1170" w:name="_Toc225565960"/>
    </w:p>
    <w:p w14:paraId="68CBF545">
      <w:pPr>
        <w:pStyle w:val="4"/>
        <w:spacing w:line="480" w:lineRule="auto"/>
        <w:rPr>
          <w:color w:val="000000"/>
          <w:highlight w:val="none"/>
        </w:rPr>
      </w:pPr>
      <w:r>
        <w:rPr>
          <w:rFonts w:hint="eastAsia" w:ascii="黑体"/>
          <w:color w:val="000000"/>
          <w:highlight w:val="none"/>
        </w:rPr>
        <w:t xml:space="preserve">格式12  </w:t>
      </w:r>
      <w:r>
        <w:rPr>
          <w:rFonts w:hint="eastAsia"/>
          <w:color w:val="000000"/>
          <w:highlight w:val="none"/>
        </w:rPr>
        <w:t xml:space="preserve">       拟派本项目负责人及主要人员情况表</w:t>
      </w:r>
      <w:bookmarkEnd w:id="1162"/>
      <w:r>
        <w:rPr>
          <w:rFonts w:hint="eastAsia"/>
          <w:color w:val="000000"/>
          <w:highlight w:val="none"/>
        </w:rPr>
        <w:t xml:space="preserve"> </w:t>
      </w:r>
    </w:p>
    <w:p w14:paraId="0911399C">
      <w:pPr>
        <w:spacing w:line="300" w:lineRule="auto"/>
        <w:rPr>
          <w:rFonts w:ascii="宋体" w:hAnsi="宋体"/>
          <w:color w:val="000000"/>
          <w:szCs w:val="21"/>
          <w:highlight w:val="none"/>
        </w:rPr>
      </w:pPr>
      <w:r>
        <w:rPr>
          <w:rFonts w:hint="eastAsia" w:ascii="宋体" w:hAnsi="宋体"/>
          <w:color w:val="000000"/>
          <w:szCs w:val="21"/>
          <w:highlight w:val="none"/>
        </w:rPr>
        <w:t xml:space="preserve">项目名称：                                         </w:t>
      </w:r>
      <w:r>
        <w:rPr>
          <w:rFonts w:ascii="宋体" w:hAnsi="宋体"/>
          <w:color w:val="000000"/>
          <w:szCs w:val="21"/>
          <w:highlight w:val="none"/>
        </w:rPr>
        <w:t>项目编号：</w:t>
      </w:r>
      <w:r>
        <w:rPr>
          <w:rFonts w:hint="eastAsia" w:ascii="宋体" w:hAnsi="宋体"/>
          <w:color w:val="000000"/>
          <w:szCs w:val="21"/>
          <w:highlight w:val="none"/>
        </w:rPr>
        <w:t xml:space="preserve">         </w:t>
      </w:r>
    </w:p>
    <w:tbl>
      <w:tblPr>
        <w:tblStyle w:val="2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62"/>
        <w:gridCol w:w="9"/>
        <w:gridCol w:w="1071"/>
        <w:gridCol w:w="216"/>
        <w:gridCol w:w="660"/>
        <w:gridCol w:w="204"/>
        <w:gridCol w:w="461"/>
        <w:gridCol w:w="619"/>
        <w:gridCol w:w="894"/>
        <w:gridCol w:w="184"/>
        <w:gridCol w:w="1103"/>
        <w:gridCol w:w="694"/>
        <w:gridCol w:w="494"/>
        <w:gridCol w:w="1288"/>
      </w:tblGrid>
      <w:tr w14:paraId="496BB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977" w:type="dxa"/>
            <w:gridSpan w:val="15"/>
            <w:vAlign w:val="center"/>
          </w:tcPr>
          <w:p w14:paraId="3D7E0B3A">
            <w:pPr>
              <w:spacing w:line="300" w:lineRule="auto"/>
              <w:jc w:val="center"/>
              <w:rPr>
                <w:rFonts w:ascii="宋体" w:hAnsi="宋体"/>
                <w:color w:val="000000"/>
                <w:szCs w:val="21"/>
                <w:highlight w:val="none"/>
              </w:rPr>
            </w:pPr>
            <w:r>
              <w:rPr>
                <w:rFonts w:hint="eastAsia" w:ascii="宋体" w:hAnsi="宋体"/>
                <w:color w:val="000000"/>
                <w:szCs w:val="21"/>
                <w:highlight w:val="none"/>
              </w:rPr>
              <w:t>拟派驻场项目负责人资料情况</w:t>
            </w:r>
          </w:p>
        </w:tc>
      </w:tr>
      <w:tr w14:paraId="792B4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089" w:type="dxa"/>
            <w:gridSpan w:val="3"/>
            <w:vAlign w:val="center"/>
          </w:tcPr>
          <w:p w14:paraId="15008DFB">
            <w:pPr>
              <w:spacing w:line="300" w:lineRule="auto"/>
              <w:jc w:val="center"/>
              <w:rPr>
                <w:rFonts w:ascii="宋体" w:hAnsi="宋体"/>
                <w:color w:val="000000"/>
                <w:szCs w:val="21"/>
                <w:highlight w:val="none"/>
              </w:rPr>
            </w:pPr>
            <w:r>
              <w:rPr>
                <w:rFonts w:hint="eastAsia" w:ascii="宋体" w:hAnsi="宋体"/>
                <w:color w:val="000000"/>
                <w:szCs w:val="21"/>
                <w:highlight w:val="none"/>
              </w:rPr>
              <w:t>姓名</w:t>
            </w:r>
          </w:p>
        </w:tc>
        <w:tc>
          <w:tcPr>
            <w:tcW w:w="1287" w:type="dxa"/>
            <w:gridSpan w:val="2"/>
            <w:vAlign w:val="center"/>
          </w:tcPr>
          <w:p w14:paraId="1994161B">
            <w:pPr>
              <w:spacing w:line="300" w:lineRule="auto"/>
              <w:jc w:val="center"/>
              <w:rPr>
                <w:rFonts w:ascii="宋体" w:hAnsi="宋体"/>
                <w:color w:val="000000"/>
                <w:szCs w:val="21"/>
                <w:highlight w:val="none"/>
              </w:rPr>
            </w:pPr>
          </w:p>
        </w:tc>
        <w:tc>
          <w:tcPr>
            <w:tcW w:w="1325" w:type="dxa"/>
            <w:gridSpan w:val="3"/>
            <w:vAlign w:val="center"/>
          </w:tcPr>
          <w:p w14:paraId="0AD9FD68">
            <w:pPr>
              <w:spacing w:line="300" w:lineRule="auto"/>
              <w:jc w:val="center"/>
              <w:rPr>
                <w:rFonts w:ascii="宋体" w:hAnsi="宋体"/>
                <w:color w:val="000000"/>
                <w:szCs w:val="21"/>
                <w:highlight w:val="none"/>
              </w:rPr>
            </w:pPr>
            <w:r>
              <w:rPr>
                <w:rFonts w:hint="eastAsia" w:ascii="宋体" w:hAnsi="宋体"/>
                <w:color w:val="000000"/>
                <w:szCs w:val="21"/>
                <w:highlight w:val="none"/>
              </w:rPr>
              <w:t>性别</w:t>
            </w:r>
          </w:p>
        </w:tc>
        <w:tc>
          <w:tcPr>
            <w:tcW w:w="1697" w:type="dxa"/>
            <w:gridSpan w:val="3"/>
            <w:vAlign w:val="center"/>
          </w:tcPr>
          <w:p w14:paraId="6E8B316B">
            <w:pPr>
              <w:spacing w:line="300" w:lineRule="auto"/>
              <w:jc w:val="center"/>
              <w:rPr>
                <w:rFonts w:ascii="宋体" w:hAnsi="宋体"/>
                <w:color w:val="000000"/>
                <w:szCs w:val="21"/>
                <w:highlight w:val="none"/>
              </w:rPr>
            </w:pPr>
          </w:p>
        </w:tc>
        <w:tc>
          <w:tcPr>
            <w:tcW w:w="1797" w:type="dxa"/>
            <w:gridSpan w:val="2"/>
            <w:vAlign w:val="center"/>
          </w:tcPr>
          <w:p w14:paraId="48CDAFD9">
            <w:pPr>
              <w:spacing w:line="300" w:lineRule="auto"/>
              <w:jc w:val="center"/>
              <w:rPr>
                <w:rFonts w:ascii="宋体" w:hAnsi="宋体"/>
                <w:color w:val="000000"/>
                <w:szCs w:val="21"/>
                <w:highlight w:val="none"/>
              </w:rPr>
            </w:pPr>
            <w:r>
              <w:rPr>
                <w:rFonts w:hint="eastAsia" w:ascii="宋体" w:hAnsi="宋体"/>
                <w:color w:val="000000"/>
                <w:szCs w:val="21"/>
                <w:highlight w:val="none"/>
              </w:rPr>
              <w:t>年龄</w:t>
            </w:r>
          </w:p>
        </w:tc>
        <w:tc>
          <w:tcPr>
            <w:tcW w:w="1782" w:type="dxa"/>
            <w:gridSpan w:val="2"/>
            <w:vAlign w:val="center"/>
          </w:tcPr>
          <w:p w14:paraId="39809F1E">
            <w:pPr>
              <w:spacing w:line="300" w:lineRule="auto"/>
              <w:jc w:val="center"/>
              <w:rPr>
                <w:rFonts w:ascii="宋体" w:hAnsi="宋体"/>
                <w:color w:val="000000"/>
                <w:szCs w:val="21"/>
                <w:highlight w:val="none"/>
              </w:rPr>
            </w:pPr>
          </w:p>
        </w:tc>
      </w:tr>
      <w:tr w14:paraId="6A516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1089" w:type="dxa"/>
            <w:gridSpan w:val="3"/>
            <w:vAlign w:val="center"/>
          </w:tcPr>
          <w:p w14:paraId="73AC3864">
            <w:pPr>
              <w:spacing w:line="300" w:lineRule="auto"/>
              <w:jc w:val="center"/>
              <w:rPr>
                <w:rFonts w:ascii="宋体" w:hAnsi="宋体"/>
                <w:color w:val="000000"/>
                <w:szCs w:val="21"/>
                <w:highlight w:val="none"/>
              </w:rPr>
            </w:pPr>
            <w:r>
              <w:rPr>
                <w:rFonts w:hint="eastAsia" w:ascii="宋体" w:hAnsi="宋体"/>
                <w:color w:val="000000"/>
                <w:szCs w:val="21"/>
                <w:highlight w:val="none"/>
              </w:rPr>
              <w:t>职务</w:t>
            </w:r>
          </w:p>
        </w:tc>
        <w:tc>
          <w:tcPr>
            <w:tcW w:w="1287" w:type="dxa"/>
            <w:gridSpan w:val="2"/>
            <w:vAlign w:val="center"/>
          </w:tcPr>
          <w:p w14:paraId="0FA27B91">
            <w:pPr>
              <w:spacing w:line="300" w:lineRule="auto"/>
              <w:jc w:val="center"/>
              <w:rPr>
                <w:rFonts w:ascii="宋体" w:hAnsi="宋体"/>
                <w:color w:val="000000"/>
                <w:szCs w:val="21"/>
                <w:highlight w:val="none"/>
              </w:rPr>
            </w:pPr>
          </w:p>
        </w:tc>
        <w:tc>
          <w:tcPr>
            <w:tcW w:w="1325" w:type="dxa"/>
            <w:gridSpan w:val="3"/>
            <w:vAlign w:val="center"/>
          </w:tcPr>
          <w:p w14:paraId="028D70B6">
            <w:pPr>
              <w:spacing w:line="300" w:lineRule="auto"/>
              <w:jc w:val="center"/>
              <w:rPr>
                <w:rFonts w:ascii="宋体" w:hAnsi="宋体"/>
                <w:color w:val="000000"/>
                <w:szCs w:val="21"/>
                <w:highlight w:val="none"/>
              </w:rPr>
            </w:pPr>
            <w:r>
              <w:rPr>
                <w:rFonts w:hint="eastAsia" w:ascii="宋体" w:hAnsi="宋体"/>
                <w:color w:val="000000"/>
                <w:szCs w:val="21"/>
                <w:highlight w:val="none"/>
              </w:rPr>
              <w:t>职称</w:t>
            </w:r>
          </w:p>
        </w:tc>
        <w:tc>
          <w:tcPr>
            <w:tcW w:w="1697" w:type="dxa"/>
            <w:gridSpan w:val="3"/>
            <w:vAlign w:val="center"/>
          </w:tcPr>
          <w:p w14:paraId="6C9195C3">
            <w:pPr>
              <w:spacing w:line="300" w:lineRule="auto"/>
              <w:jc w:val="center"/>
              <w:rPr>
                <w:rFonts w:ascii="宋体" w:hAnsi="宋体"/>
                <w:color w:val="000000"/>
                <w:szCs w:val="21"/>
                <w:highlight w:val="none"/>
              </w:rPr>
            </w:pPr>
          </w:p>
        </w:tc>
        <w:tc>
          <w:tcPr>
            <w:tcW w:w="1797" w:type="dxa"/>
            <w:gridSpan w:val="2"/>
            <w:vAlign w:val="center"/>
          </w:tcPr>
          <w:p w14:paraId="5F53FD17">
            <w:pPr>
              <w:spacing w:line="300" w:lineRule="auto"/>
              <w:jc w:val="center"/>
              <w:rPr>
                <w:rFonts w:ascii="宋体" w:hAnsi="宋体"/>
                <w:color w:val="000000"/>
                <w:szCs w:val="21"/>
                <w:highlight w:val="none"/>
              </w:rPr>
            </w:pPr>
            <w:r>
              <w:rPr>
                <w:rFonts w:hint="eastAsia" w:ascii="宋体" w:hAnsi="宋体"/>
                <w:color w:val="000000"/>
                <w:szCs w:val="21"/>
                <w:highlight w:val="none"/>
              </w:rPr>
              <w:t>学历</w:t>
            </w:r>
          </w:p>
        </w:tc>
        <w:tc>
          <w:tcPr>
            <w:tcW w:w="1782" w:type="dxa"/>
            <w:gridSpan w:val="2"/>
            <w:vAlign w:val="center"/>
          </w:tcPr>
          <w:p w14:paraId="167D21A9">
            <w:pPr>
              <w:spacing w:line="300" w:lineRule="auto"/>
              <w:jc w:val="center"/>
              <w:rPr>
                <w:rFonts w:ascii="宋体" w:hAnsi="宋体"/>
                <w:color w:val="000000"/>
                <w:szCs w:val="21"/>
                <w:highlight w:val="none"/>
              </w:rPr>
            </w:pPr>
          </w:p>
        </w:tc>
      </w:tr>
      <w:tr w14:paraId="6131C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2376" w:type="dxa"/>
            <w:gridSpan w:val="5"/>
            <w:vAlign w:val="center"/>
          </w:tcPr>
          <w:p w14:paraId="740BA7AA">
            <w:pPr>
              <w:spacing w:line="300" w:lineRule="auto"/>
              <w:jc w:val="center"/>
              <w:rPr>
                <w:rFonts w:ascii="宋体" w:hAnsi="宋体"/>
                <w:color w:val="000000"/>
                <w:szCs w:val="21"/>
                <w:highlight w:val="none"/>
              </w:rPr>
            </w:pPr>
            <w:r>
              <w:rPr>
                <w:rFonts w:hint="eastAsia" w:ascii="宋体" w:hAnsi="宋体"/>
                <w:color w:val="000000"/>
                <w:szCs w:val="21"/>
                <w:highlight w:val="none"/>
              </w:rPr>
              <w:t>从事同类项目年限</w:t>
            </w:r>
          </w:p>
        </w:tc>
        <w:tc>
          <w:tcPr>
            <w:tcW w:w="1325" w:type="dxa"/>
            <w:gridSpan w:val="3"/>
            <w:vAlign w:val="center"/>
          </w:tcPr>
          <w:p w14:paraId="68F24348">
            <w:pPr>
              <w:spacing w:line="300" w:lineRule="auto"/>
              <w:jc w:val="center"/>
              <w:rPr>
                <w:rFonts w:ascii="宋体" w:hAnsi="宋体"/>
                <w:color w:val="000000"/>
                <w:szCs w:val="21"/>
                <w:highlight w:val="none"/>
              </w:rPr>
            </w:pPr>
          </w:p>
        </w:tc>
        <w:tc>
          <w:tcPr>
            <w:tcW w:w="1697" w:type="dxa"/>
            <w:gridSpan w:val="3"/>
            <w:vAlign w:val="center"/>
          </w:tcPr>
          <w:p w14:paraId="30F659D6">
            <w:pPr>
              <w:spacing w:line="300" w:lineRule="auto"/>
              <w:jc w:val="center"/>
              <w:rPr>
                <w:rFonts w:ascii="宋体" w:hAnsi="宋体"/>
                <w:color w:val="000000"/>
                <w:szCs w:val="21"/>
                <w:highlight w:val="none"/>
              </w:rPr>
            </w:pPr>
            <w:r>
              <w:rPr>
                <w:rFonts w:hint="eastAsia" w:ascii="宋体" w:hAnsi="宋体"/>
                <w:color w:val="000000"/>
                <w:szCs w:val="21"/>
                <w:highlight w:val="none"/>
              </w:rPr>
              <w:t>具有认证资质</w:t>
            </w:r>
          </w:p>
        </w:tc>
        <w:tc>
          <w:tcPr>
            <w:tcW w:w="3579" w:type="dxa"/>
            <w:gridSpan w:val="4"/>
            <w:vAlign w:val="center"/>
          </w:tcPr>
          <w:p w14:paraId="78DEB1E9">
            <w:pPr>
              <w:spacing w:line="300" w:lineRule="auto"/>
              <w:jc w:val="center"/>
              <w:rPr>
                <w:rFonts w:ascii="宋体" w:hAnsi="宋体"/>
                <w:color w:val="000000"/>
                <w:szCs w:val="21"/>
                <w:highlight w:val="none"/>
              </w:rPr>
            </w:pPr>
          </w:p>
        </w:tc>
      </w:tr>
      <w:tr w14:paraId="766FA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8977" w:type="dxa"/>
            <w:gridSpan w:val="15"/>
            <w:vAlign w:val="center"/>
          </w:tcPr>
          <w:p w14:paraId="5EA9BD96">
            <w:pPr>
              <w:spacing w:line="300" w:lineRule="auto"/>
              <w:jc w:val="center"/>
              <w:rPr>
                <w:rFonts w:ascii="宋体" w:hAnsi="宋体"/>
                <w:color w:val="000000"/>
                <w:szCs w:val="21"/>
                <w:highlight w:val="none"/>
              </w:rPr>
            </w:pPr>
            <w:r>
              <w:rPr>
                <w:rFonts w:hint="eastAsia" w:ascii="宋体" w:hAnsi="宋体"/>
                <w:color w:val="000000"/>
                <w:szCs w:val="21"/>
                <w:highlight w:val="none"/>
              </w:rPr>
              <w:t>已完成的部分同类项目情况</w:t>
            </w:r>
          </w:p>
        </w:tc>
      </w:tr>
      <w:tr w14:paraId="47B60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080" w:type="dxa"/>
            <w:gridSpan w:val="2"/>
            <w:vAlign w:val="center"/>
          </w:tcPr>
          <w:p w14:paraId="7A047CA7">
            <w:pPr>
              <w:spacing w:line="300" w:lineRule="auto"/>
              <w:jc w:val="center"/>
              <w:rPr>
                <w:rFonts w:ascii="宋体" w:hAnsi="宋体"/>
                <w:color w:val="000000"/>
                <w:szCs w:val="21"/>
                <w:highlight w:val="none"/>
              </w:rPr>
            </w:pPr>
            <w:r>
              <w:rPr>
                <w:rFonts w:hint="eastAsia" w:ascii="宋体" w:hAnsi="宋体"/>
                <w:color w:val="000000"/>
                <w:szCs w:val="21"/>
                <w:highlight w:val="none"/>
              </w:rPr>
              <w:t>用户单位</w:t>
            </w:r>
          </w:p>
        </w:tc>
        <w:tc>
          <w:tcPr>
            <w:tcW w:w="1956" w:type="dxa"/>
            <w:gridSpan w:val="4"/>
            <w:vAlign w:val="center"/>
          </w:tcPr>
          <w:p w14:paraId="4B4631E7">
            <w:pPr>
              <w:spacing w:line="300" w:lineRule="auto"/>
              <w:jc w:val="center"/>
              <w:rPr>
                <w:rFonts w:ascii="宋体" w:hAnsi="宋体"/>
                <w:color w:val="000000"/>
                <w:szCs w:val="21"/>
                <w:highlight w:val="none"/>
              </w:rPr>
            </w:pPr>
            <w:r>
              <w:rPr>
                <w:rFonts w:ascii="宋体" w:hAnsi="宋体"/>
                <w:color w:val="000000"/>
                <w:szCs w:val="21"/>
                <w:highlight w:val="none"/>
              </w:rPr>
              <w:t>项目名称</w:t>
            </w:r>
          </w:p>
        </w:tc>
        <w:tc>
          <w:tcPr>
            <w:tcW w:w="2178" w:type="dxa"/>
            <w:gridSpan w:val="4"/>
            <w:vAlign w:val="center"/>
          </w:tcPr>
          <w:p w14:paraId="4E929AAE">
            <w:pPr>
              <w:spacing w:line="300" w:lineRule="auto"/>
              <w:jc w:val="center"/>
              <w:rPr>
                <w:rFonts w:ascii="宋体" w:hAnsi="宋体"/>
                <w:color w:val="000000"/>
                <w:szCs w:val="21"/>
                <w:highlight w:val="none"/>
              </w:rPr>
            </w:pPr>
            <w:r>
              <w:rPr>
                <w:rFonts w:hint="eastAsia" w:ascii="宋体" w:hAnsi="宋体"/>
                <w:color w:val="000000"/>
                <w:szCs w:val="21"/>
                <w:highlight w:val="none"/>
              </w:rPr>
              <w:t>项目时间</w:t>
            </w:r>
          </w:p>
        </w:tc>
        <w:tc>
          <w:tcPr>
            <w:tcW w:w="1287" w:type="dxa"/>
            <w:gridSpan w:val="2"/>
            <w:vAlign w:val="center"/>
          </w:tcPr>
          <w:p w14:paraId="67AB1E00">
            <w:pPr>
              <w:spacing w:line="300" w:lineRule="auto"/>
              <w:jc w:val="center"/>
              <w:rPr>
                <w:rFonts w:ascii="宋体" w:hAnsi="宋体"/>
                <w:color w:val="000000"/>
                <w:szCs w:val="21"/>
                <w:highlight w:val="none"/>
              </w:rPr>
            </w:pPr>
            <w:r>
              <w:rPr>
                <w:rFonts w:hint="eastAsia" w:ascii="宋体" w:hAnsi="宋体"/>
                <w:color w:val="000000"/>
                <w:szCs w:val="21"/>
                <w:highlight w:val="none"/>
              </w:rPr>
              <w:t>项目区域</w:t>
            </w:r>
          </w:p>
        </w:tc>
        <w:tc>
          <w:tcPr>
            <w:tcW w:w="1188" w:type="dxa"/>
            <w:gridSpan w:val="2"/>
            <w:vAlign w:val="center"/>
          </w:tcPr>
          <w:p w14:paraId="6F41AB43">
            <w:pPr>
              <w:spacing w:line="300" w:lineRule="auto"/>
              <w:jc w:val="center"/>
              <w:rPr>
                <w:rFonts w:ascii="宋体" w:hAnsi="宋体"/>
                <w:color w:val="000000"/>
                <w:szCs w:val="21"/>
                <w:highlight w:val="none"/>
              </w:rPr>
            </w:pPr>
            <w:r>
              <w:rPr>
                <w:rFonts w:hint="eastAsia" w:ascii="宋体" w:hAnsi="宋体"/>
                <w:color w:val="000000"/>
                <w:szCs w:val="21"/>
                <w:highlight w:val="none"/>
              </w:rPr>
              <w:t>用地面积</w:t>
            </w:r>
          </w:p>
        </w:tc>
        <w:tc>
          <w:tcPr>
            <w:tcW w:w="1288" w:type="dxa"/>
            <w:vAlign w:val="center"/>
          </w:tcPr>
          <w:p w14:paraId="705BF9DE">
            <w:pPr>
              <w:spacing w:line="300" w:lineRule="auto"/>
              <w:jc w:val="center"/>
              <w:rPr>
                <w:rFonts w:ascii="宋体" w:hAnsi="宋体"/>
                <w:color w:val="000000"/>
                <w:szCs w:val="21"/>
                <w:highlight w:val="none"/>
              </w:rPr>
            </w:pPr>
            <w:r>
              <w:rPr>
                <w:rFonts w:hint="eastAsia" w:ascii="宋体" w:hAnsi="宋体"/>
                <w:color w:val="000000"/>
                <w:szCs w:val="21"/>
                <w:highlight w:val="none"/>
              </w:rPr>
              <w:t>项目效果简述</w:t>
            </w:r>
          </w:p>
        </w:tc>
      </w:tr>
      <w:tr w14:paraId="26024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80" w:type="dxa"/>
            <w:gridSpan w:val="2"/>
            <w:vAlign w:val="center"/>
          </w:tcPr>
          <w:p w14:paraId="4085636B">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956" w:type="dxa"/>
            <w:gridSpan w:val="4"/>
            <w:vAlign w:val="center"/>
          </w:tcPr>
          <w:p w14:paraId="523463F9">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2178" w:type="dxa"/>
            <w:gridSpan w:val="4"/>
            <w:vAlign w:val="center"/>
          </w:tcPr>
          <w:p w14:paraId="120B6B51">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287" w:type="dxa"/>
            <w:gridSpan w:val="2"/>
            <w:vAlign w:val="center"/>
          </w:tcPr>
          <w:p w14:paraId="64389FFE">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188" w:type="dxa"/>
            <w:gridSpan w:val="2"/>
            <w:vAlign w:val="center"/>
          </w:tcPr>
          <w:p w14:paraId="628916D2">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288" w:type="dxa"/>
            <w:vAlign w:val="center"/>
          </w:tcPr>
          <w:p w14:paraId="547EA2E3">
            <w:pPr>
              <w:spacing w:line="300" w:lineRule="auto"/>
              <w:jc w:val="center"/>
              <w:rPr>
                <w:rFonts w:ascii="宋体" w:hAnsi="宋体"/>
                <w:color w:val="000000"/>
                <w:szCs w:val="21"/>
                <w:highlight w:val="none"/>
              </w:rPr>
            </w:pPr>
            <w:r>
              <w:rPr>
                <w:rFonts w:ascii="宋体" w:hAnsi="宋体"/>
                <w:color w:val="000000"/>
                <w:szCs w:val="21"/>
                <w:highlight w:val="none"/>
              </w:rPr>
              <w:t>…</w:t>
            </w:r>
          </w:p>
        </w:tc>
      </w:tr>
      <w:tr w14:paraId="6B967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977" w:type="dxa"/>
            <w:gridSpan w:val="15"/>
            <w:vAlign w:val="center"/>
          </w:tcPr>
          <w:p w14:paraId="017D5855">
            <w:pPr>
              <w:spacing w:line="300" w:lineRule="auto"/>
              <w:jc w:val="center"/>
              <w:rPr>
                <w:rFonts w:ascii="宋体" w:hAnsi="宋体"/>
                <w:color w:val="000000"/>
                <w:szCs w:val="21"/>
                <w:highlight w:val="none"/>
              </w:rPr>
            </w:pPr>
            <w:r>
              <w:rPr>
                <w:rFonts w:hint="eastAsia" w:ascii="宋体" w:hAnsi="宋体"/>
                <w:color w:val="000000"/>
                <w:szCs w:val="21"/>
                <w:highlight w:val="none"/>
              </w:rPr>
              <w:t>拟参与本项目</w:t>
            </w:r>
            <w:r>
              <w:rPr>
                <w:rFonts w:hint="eastAsia" w:ascii="宋体" w:hAnsi="宋体"/>
                <w:color w:val="000000"/>
                <w:kern w:val="0"/>
                <w:szCs w:val="21"/>
                <w:highlight w:val="none"/>
              </w:rPr>
              <w:t>主要技术及服务人员</w:t>
            </w:r>
            <w:r>
              <w:rPr>
                <w:rFonts w:hint="eastAsia" w:ascii="宋体" w:hAnsi="宋体"/>
                <w:color w:val="000000"/>
                <w:szCs w:val="21"/>
                <w:highlight w:val="none"/>
              </w:rPr>
              <w:t>情况</w:t>
            </w:r>
          </w:p>
        </w:tc>
      </w:tr>
      <w:tr w14:paraId="4A3C8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018" w:type="dxa"/>
            <w:vAlign w:val="center"/>
          </w:tcPr>
          <w:p w14:paraId="4A045FCB">
            <w:pPr>
              <w:spacing w:line="300" w:lineRule="auto"/>
              <w:jc w:val="center"/>
              <w:rPr>
                <w:rFonts w:ascii="宋体" w:hAnsi="宋体"/>
                <w:color w:val="000000"/>
                <w:szCs w:val="21"/>
                <w:highlight w:val="none"/>
              </w:rPr>
            </w:pPr>
            <w:r>
              <w:rPr>
                <w:rFonts w:hint="eastAsia" w:ascii="宋体" w:hAnsi="宋体"/>
                <w:color w:val="000000"/>
                <w:szCs w:val="21"/>
                <w:highlight w:val="none"/>
              </w:rPr>
              <w:t>姓名</w:t>
            </w:r>
          </w:p>
        </w:tc>
        <w:tc>
          <w:tcPr>
            <w:tcW w:w="1142" w:type="dxa"/>
            <w:gridSpan w:val="3"/>
            <w:vAlign w:val="center"/>
          </w:tcPr>
          <w:p w14:paraId="7A7951B0">
            <w:pPr>
              <w:spacing w:line="300" w:lineRule="auto"/>
              <w:jc w:val="center"/>
              <w:rPr>
                <w:rFonts w:ascii="宋体" w:hAnsi="宋体"/>
                <w:color w:val="000000"/>
                <w:szCs w:val="21"/>
                <w:highlight w:val="none"/>
              </w:rPr>
            </w:pPr>
            <w:r>
              <w:rPr>
                <w:rFonts w:hint="eastAsia" w:ascii="宋体" w:hAnsi="宋体"/>
                <w:color w:val="000000"/>
                <w:szCs w:val="21"/>
                <w:highlight w:val="none"/>
              </w:rPr>
              <w:t>性别</w:t>
            </w:r>
          </w:p>
        </w:tc>
        <w:tc>
          <w:tcPr>
            <w:tcW w:w="1080" w:type="dxa"/>
            <w:gridSpan w:val="3"/>
            <w:vAlign w:val="center"/>
          </w:tcPr>
          <w:p w14:paraId="1EB98F13">
            <w:pPr>
              <w:spacing w:line="300" w:lineRule="auto"/>
              <w:jc w:val="center"/>
              <w:rPr>
                <w:rFonts w:ascii="宋体" w:hAnsi="宋体"/>
                <w:color w:val="000000"/>
                <w:szCs w:val="21"/>
                <w:highlight w:val="none"/>
              </w:rPr>
            </w:pPr>
            <w:r>
              <w:rPr>
                <w:rFonts w:hint="eastAsia" w:ascii="宋体" w:hAnsi="宋体"/>
                <w:color w:val="000000"/>
                <w:szCs w:val="21"/>
                <w:highlight w:val="none"/>
              </w:rPr>
              <w:t>年龄</w:t>
            </w:r>
          </w:p>
        </w:tc>
        <w:tc>
          <w:tcPr>
            <w:tcW w:w="1080" w:type="dxa"/>
            <w:gridSpan w:val="2"/>
            <w:vAlign w:val="center"/>
          </w:tcPr>
          <w:p w14:paraId="3E735155">
            <w:pPr>
              <w:spacing w:line="300" w:lineRule="auto"/>
              <w:jc w:val="center"/>
              <w:rPr>
                <w:rFonts w:ascii="宋体" w:hAnsi="宋体"/>
                <w:color w:val="000000"/>
                <w:szCs w:val="21"/>
                <w:highlight w:val="none"/>
              </w:rPr>
            </w:pPr>
            <w:r>
              <w:rPr>
                <w:rFonts w:hint="eastAsia" w:ascii="宋体" w:hAnsi="宋体"/>
                <w:color w:val="000000"/>
                <w:szCs w:val="21"/>
                <w:highlight w:val="none"/>
              </w:rPr>
              <w:t>职称</w:t>
            </w:r>
          </w:p>
        </w:tc>
        <w:tc>
          <w:tcPr>
            <w:tcW w:w="1078" w:type="dxa"/>
            <w:gridSpan w:val="2"/>
            <w:vAlign w:val="center"/>
          </w:tcPr>
          <w:p w14:paraId="0C80D512">
            <w:pPr>
              <w:spacing w:line="300" w:lineRule="auto"/>
              <w:jc w:val="center"/>
              <w:rPr>
                <w:rFonts w:ascii="宋体" w:hAnsi="宋体"/>
                <w:color w:val="000000"/>
                <w:szCs w:val="21"/>
                <w:highlight w:val="none"/>
              </w:rPr>
            </w:pPr>
            <w:r>
              <w:rPr>
                <w:rFonts w:hint="eastAsia" w:ascii="宋体" w:hAnsi="宋体"/>
                <w:color w:val="000000"/>
                <w:szCs w:val="21"/>
                <w:highlight w:val="none"/>
              </w:rPr>
              <w:t>专业</w:t>
            </w:r>
          </w:p>
        </w:tc>
        <w:tc>
          <w:tcPr>
            <w:tcW w:w="1103" w:type="dxa"/>
            <w:vAlign w:val="center"/>
          </w:tcPr>
          <w:p w14:paraId="08551C9B">
            <w:pPr>
              <w:spacing w:line="300" w:lineRule="auto"/>
              <w:jc w:val="center"/>
              <w:rPr>
                <w:rFonts w:ascii="宋体" w:hAnsi="宋体"/>
                <w:color w:val="000000"/>
                <w:szCs w:val="21"/>
                <w:highlight w:val="none"/>
              </w:rPr>
            </w:pPr>
            <w:r>
              <w:rPr>
                <w:rFonts w:hint="eastAsia" w:ascii="宋体" w:hAnsi="宋体"/>
                <w:color w:val="000000"/>
                <w:szCs w:val="21"/>
                <w:highlight w:val="none"/>
              </w:rPr>
              <w:t>学历</w:t>
            </w:r>
          </w:p>
        </w:tc>
        <w:tc>
          <w:tcPr>
            <w:tcW w:w="1188" w:type="dxa"/>
            <w:gridSpan w:val="2"/>
            <w:vAlign w:val="center"/>
          </w:tcPr>
          <w:p w14:paraId="6E499940">
            <w:pPr>
              <w:spacing w:line="300" w:lineRule="auto"/>
              <w:jc w:val="center"/>
              <w:rPr>
                <w:rFonts w:ascii="宋体" w:hAnsi="宋体"/>
                <w:color w:val="000000"/>
                <w:szCs w:val="21"/>
                <w:highlight w:val="none"/>
              </w:rPr>
            </w:pPr>
            <w:r>
              <w:rPr>
                <w:rFonts w:hint="eastAsia" w:ascii="宋体" w:hAnsi="宋体"/>
                <w:color w:val="000000"/>
                <w:szCs w:val="21"/>
                <w:highlight w:val="none"/>
              </w:rPr>
              <w:t>经验年限</w:t>
            </w:r>
          </w:p>
        </w:tc>
        <w:tc>
          <w:tcPr>
            <w:tcW w:w="1288" w:type="dxa"/>
            <w:vAlign w:val="center"/>
          </w:tcPr>
          <w:p w14:paraId="0AF83F00">
            <w:pPr>
              <w:spacing w:line="300" w:lineRule="auto"/>
              <w:jc w:val="center"/>
              <w:rPr>
                <w:rFonts w:ascii="宋体" w:hAnsi="宋体"/>
                <w:color w:val="000000"/>
                <w:szCs w:val="21"/>
                <w:highlight w:val="none"/>
              </w:rPr>
            </w:pPr>
            <w:r>
              <w:rPr>
                <w:rFonts w:hint="eastAsia" w:ascii="宋体" w:hAnsi="宋体"/>
                <w:color w:val="000000"/>
                <w:szCs w:val="21"/>
                <w:highlight w:val="none"/>
              </w:rPr>
              <w:t>具有认证资质</w:t>
            </w:r>
          </w:p>
        </w:tc>
      </w:tr>
      <w:tr w14:paraId="087D0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18" w:type="dxa"/>
            <w:vAlign w:val="center"/>
          </w:tcPr>
          <w:p w14:paraId="2A68C8BE">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142" w:type="dxa"/>
            <w:gridSpan w:val="3"/>
            <w:vAlign w:val="center"/>
          </w:tcPr>
          <w:p w14:paraId="38205A97">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080" w:type="dxa"/>
            <w:gridSpan w:val="3"/>
            <w:vAlign w:val="center"/>
          </w:tcPr>
          <w:p w14:paraId="67A783B7">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080" w:type="dxa"/>
            <w:gridSpan w:val="2"/>
            <w:vAlign w:val="center"/>
          </w:tcPr>
          <w:p w14:paraId="5F5F666B">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078" w:type="dxa"/>
            <w:gridSpan w:val="2"/>
            <w:vAlign w:val="center"/>
          </w:tcPr>
          <w:p w14:paraId="1D3623E6">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103" w:type="dxa"/>
            <w:vAlign w:val="center"/>
          </w:tcPr>
          <w:p w14:paraId="1792CD2F">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188" w:type="dxa"/>
            <w:gridSpan w:val="2"/>
            <w:vAlign w:val="center"/>
          </w:tcPr>
          <w:p w14:paraId="62EF23F5">
            <w:pPr>
              <w:spacing w:line="300" w:lineRule="auto"/>
              <w:jc w:val="center"/>
              <w:rPr>
                <w:rFonts w:ascii="宋体" w:hAnsi="宋体"/>
                <w:color w:val="000000"/>
                <w:szCs w:val="21"/>
                <w:highlight w:val="none"/>
              </w:rPr>
            </w:pPr>
            <w:r>
              <w:rPr>
                <w:rFonts w:ascii="宋体" w:hAnsi="宋体"/>
                <w:color w:val="000000"/>
                <w:szCs w:val="21"/>
                <w:highlight w:val="none"/>
              </w:rPr>
              <w:t>…</w:t>
            </w:r>
          </w:p>
        </w:tc>
        <w:tc>
          <w:tcPr>
            <w:tcW w:w="1288" w:type="dxa"/>
            <w:vAlign w:val="center"/>
          </w:tcPr>
          <w:p w14:paraId="70CF287E">
            <w:pPr>
              <w:spacing w:line="300" w:lineRule="auto"/>
              <w:jc w:val="center"/>
              <w:rPr>
                <w:rFonts w:ascii="宋体" w:hAnsi="宋体"/>
                <w:color w:val="000000"/>
                <w:szCs w:val="21"/>
                <w:highlight w:val="none"/>
              </w:rPr>
            </w:pPr>
            <w:r>
              <w:rPr>
                <w:rFonts w:ascii="宋体" w:hAnsi="宋体"/>
                <w:color w:val="000000"/>
                <w:szCs w:val="21"/>
                <w:highlight w:val="none"/>
              </w:rPr>
              <w:t>…</w:t>
            </w:r>
          </w:p>
        </w:tc>
      </w:tr>
    </w:tbl>
    <w:p w14:paraId="79AB8BE9">
      <w:pPr>
        <w:spacing w:before="120" w:line="300" w:lineRule="auto"/>
        <w:ind w:left="620" w:hanging="617" w:hangingChars="294"/>
        <w:rPr>
          <w:rFonts w:ascii="宋体" w:hAnsi="宋体"/>
          <w:b/>
          <w:color w:val="000000"/>
          <w:szCs w:val="21"/>
          <w:highlight w:val="none"/>
        </w:rPr>
      </w:pPr>
      <w:r>
        <w:rPr>
          <w:rFonts w:hint="eastAsia" w:ascii="宋体" w:hAnsi="宋体"/>
          <w:b/>
          <w:color w:val="000000"/>
          <w:szCs w:val="21"/>
          <w:highlight w:val="none"/>
        </w:rPr>
        <w:t>注：1.在合同执行期间，中标投标人派出项目负责人和专业专职的主要技术及服务人员，应在上表中列明；</w:t>
      </w:r>
    </w:p>
    <w:p w14:paraId="788E3A69">
      <w:pPr>
        <w:spacing w:before="120" w:line="300" w:lineRule="auto"/>
        <w:ind w:left="613" w:leftChars="200" w:hanging="193" w:hangingChars="92"/>
        <w:rPr>
          <w:rFonts w:ascii="宋体" w:hAnsi="宋体"/>
          <w:b/>
          <w:color w:val="000000"/>
          <w:szCs w:val="21"/>
          <w:highlight w:val="none"/>
        </w:rPr>
      </w:pPr>
      <w:r>
        <w:rPr>
          <w:rFonts w:hint="eastAsia" w:ascii="宋体" w:hAnsi="宋体"/>
          <w:b/>
          <w:color w:val="000000"/>
          <w:szCs w:val="21"/>
          <w:highlight w:val="none"/>
        </w:rPr>
        <w:t>2.如有，可附上以上人员在本公司任职的外部证明材料（如加盖政府有关部门印章的打印日期在本项目投标截止日之前的《投保单》或《社会保险参保人员证明》，或单位代缴个人所得税税单等。</w:t>
      </w:r>
    </w:p>
    <w:p w14:paraId="781DF1CE">
      <w:pPr>
        <w:spacing w:line="300" w:lineRule="auto"/>
        <w:rPr>
          <w:rFonts w:ascii="宋体" w:hAnsi="宋体"/>
          <w:bCs/>
          <w:color w:val="000000"/>
          <w:szCs w:val="21"/>
          <w:highlight w:val="none"/>
        </w:rPr>
      </w:pPr>
    </w:p>
    <w:p w14:paraId="01CD755F">
      <w:pPr>
        <w:spacing w:line="300" w:lineRule="auto"/>
        <w:rPr>
          <w:rFonts w:ascii="宋体" w:hAnsi="宋体"/>
          <w:bCs/>
          <w:color w:val="000000"/>
          <w:szCs w:val="21"/>
          <w:highlight w:val="none"/>
        </w:rPr>
      </w:pPr>
    </w:p>
    <w:p w14:paraId="58AB97C0">
      <w:pPr>
        <w:spacing w:line="300" w:lineRule="auto"/>
        <w:rPr>
          <w:rFonts w:ascii="宋体" w:hAnsi="宋体"/>
          <w:bCs/>
          <w:color w:val="000000"/>
          <w:szCs w:val="21"/>
          <w:highlight w:val="none"/>
        </w:rPr>
      </w:pPr>
      <w:r>
        <w:rPr>
          <w:rFonts w:hint="eastAsia" w:ascii="宋体" w:hAnsi="宋体"/>
          <w:bCs/>
          <w:color w:val="000000"/>
          <w:szCs w:val="21"/>
          <w:highlight w:val="none"/>
        </w:rPr>
        <w:t>投标人全称（加盖公章）:</w:t>
      </w:r>
    </w:p>
    <w:p w14:paraId="198D810D">
      <w:pPr>
        <w:spacing w:line="300" w:lineRule="auto"/>
        <w:rPr>
          <w:rFonts w:ascii="宋体" w:hAnsi="宋体"/>
          <w:bCs/>
          <w:color w:val="000000"/>
          <w:sz w:val="24"/>
          <w:highlight w:val="none"/>
        </w:rPr>
      </w:pPr>
      <w:r>
        <w:rPr>
          <w:rFonts w:hint="eastAsia" w:ascii="宋体" w:hAnsi="宋体"/>
          <w:bCs/>
          <w:color w:val="000000"/>
          <w:szCs w:val="21"/>
          <w:highlight w:val="none"/>
        </w:rPr>
        <w:t>法定代表人或其投标人授权代表(签字)：               日    期：     年   月   日</w:t>
      </w:r>
    </w:p>
    <w:p w14:paraId="24371E41">
      <w:pPr>
        <w:pStyle w:val="4"/>
        <w:rPr>
          <w:rFonts w:ascii="黑体"/>
          <w:color w:val="000000"/>
          <w:highlight w:val="none"/>
        </w:rPr>
        <w:sectPr>
          <w:footerReference r:id="rId26" w:type="default"/>
          <w:pgSz w:w="11906" w:h="16838"/>
          <w:pgMar w:top="936" w:right="1021" w:bottom="936" w:left="1021" w:header="737" w:footer="737" w:gutter="0"/>
          <w:cols w:space="720" w:num="1"/>
          <w:docGrid w:type="linesAndChars" w:linePitch="312" w:charSpace="0"/>
        </w:sectPr>
      </w:pPr>
      <w:bookmarkStart w:id="1171" w:name="_Toc334795493"/>
    </w:p>
    <w:p w14:paraId="1894751F">
      <w:pPr>
        <w:pStyle w:val="4"/>
        <w:rPr>
          <w:rFonts w:ascii="黑体"/>
          <w:color w:val="000000"/>
          <w:highlight w:val="none"/>
        </w:rPr>
      </w:pPr>
      <w:r>
        <w:rPr>
          <w:rFonts w:hint="eastAsia" w:ascii="黑体"/>
          <w:color w:val="000000"/>
          <w:highlight w:val="none"/>
        </w:rPr>
        <w:t>格式13                合同条款响应表</w:t>
      </w:r>
      <w:bookmarkEnd w:id="1163"/>
      <w:bookmarkEnd w:id="1164"/>
      <w:bookmarkEnd w:id="1165"/>
      <w:bookmarkEnd w:id="1166"/>
      <w:bookmarkEnd w:id="1167"/>
      <w:bookmarkEnd w:id="1168"/>
      <w:bookmarkEnd w:id="1169"/>
      <w:bookmarkEnd w:id="1170"/>
      <w:bookmarkEnd w:id="1171"/>
    </w:p>
    <w:p w14:paraId="5E100B76">
      <w:pPr>
        <w:rPr>
          <w:rFonts w:ascii="宋体"/>
          <w:color w:val="000000"/>
          <w:szCs w:val="21"/>
          <w:highlight w:val="none"/>
        </w:rPr>
      </w:pPr>
      <w:r>
        <w:rPr>
          <w:rFonts w:hint="eastAsia" w:ascii="宋体"/>
          <w:color w:val="000000"/>
          <w:szCs w:val="21"/>
          <w:highlight w:val="none"/>
        </w:rPr>
        <w:t>项目名称</w:t>
      </w:r>
      <w:r>
        <w:rPr>
          <w:rFonts w:hint="eastAsia" w:ascii="宋体"/>
          <w:color w:val="000000"/>
          <w:kern w:val="28"/>
          <w:szCs w:val="21"/>
          <w:highlight w:val="none"/>
        </w:rPr>
        <w:t xml:space="preserve">：                                                </w:t>
      </w:r>
      <w:r>
        <w:rPr>
          <w:rFonts w:ascii="宋体"/>
          <w:color w:val="000000"/>
          <w:szCs w:val="21"/>
          <w:highlight w:val="none"/>
        </w:rPr>
        <w:t>项目编号：</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20"/>
        <w:gridCol w:w="2365"/>
        <w:gridCol w:w="2365"/>
      </w:tblGrid>
      <w:tr w14:paraId="33C82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008" w:type="dxa"/>
            <w:vMerge w:val="restart"/>
            <w:vAlign w:val="center"/>
          </w:tcPr>
          <w:p w14:paraId="1D070151">
            <w:pPr>
              <w:pStyle w:val="12"/>
              <w:jc w:val="center"/>
              <w:rPr>
                <w:rFonts w:hAnsi="宋体"/>
                <w:color w:val="000000"/>
                <w:szCs w:val="21"/>
                <w:highlight w:val="none"/>
              </w:rPr>
            </w:pPr>
            <w:r>
              <w:rPr>
                <w:rFonts w:hint="eastAsia" w:hAnsi="宋体"/>
                <w:color w:val="000000"/>
                <w:szCs w:val="21"/>
                <w:highlight w:val="none"/>
              </w:rPr>
              <w:t>序号</w:t>
            </w:r>
          </w:p>
        </w:tc>
        <w:tc>
          <w:tcPr>
            <w:tcW w:w="3720" w:type="dxa"/>
          </w:tcPr>
          <w:p w14:paraId="20D3AC00">
            <w:pPr>
              <w:pStyle w:val="12"/>
              <w:jc w:val="center"/>
              <w:rPr>
                <w:rFonts w:hAnsi="宋体"/>
                <w:color w:val="000000"/>
                <w:szCs w:val="21"/>
                <w:highlight w:val="none"/>
              </w:rPr>
            </w:pPr>
            <w:r>
              <w:rPr>
                <w:rFonts w:hint="eastAsia" w:hAnsi="宋体"/>
                <w:color w:val="000000"/>
                <w:szCs w:val="21"/>
                <w:highlight w:val="none"/>
              </w:rPr>
              <w:t>招标文件合同要求</w:t>
            </w:r>
          </w:p>
        </w:tc>
        <w:tc>
          <w:tcPr>
            <w:tcW w:w="4730" w:type="dxa"/>
            <w:gridSpan w:val="2"/>
          </w:tcPr>
          <w:p w14:paraId="7CDDF01A">
            <w:pPr>
              <w:pStyle w:val="12"/>
              <w:jc w:val="center"/>
              <w:rPr>
                <w:rFonts w:hAnsi="宋体"/>
                <w:color w:val="000000"/>
                <w:szCs w:val="21"/>
                <w:highlight w:val="none"/>
              </w:rPr>
            </w:pPr>
            <w:r>
              <w:rPr>
                <w:rFonts w:hint="eastAsia" w:hAnsi="宋体"/>
                <w:color w:val="000000"/>
                <w:szCs w:val="21"/>
                <w:highlight w:val="none"/>
              </w:rPr>
              <w:t>投标文件内容</w:t>
            </w:r>
          </w:p>
        </w:tc>
      </w:tr>
      <w:tr w14:paraId="46C5A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008" w:type="dxa"/>
            <w:vMerge w:val="continue"/>
          </w:tcPr>
          <w:p w14:paraId="6634AFDA">
            <w:pPr>
              <w:pStyle w:val="12"/>
              <w:rPr>
                <w:rFonts w:hAnsi="宋体"/>
                <w:color w:val="000000"/>
                <w:szCs w:val="21"/>
                <w:highlight w:val="none"/>
              </w:rPr>
            </w:pPr>
          </w:p>
        </w:tc>
        <w:tc>
          <w:tcPr>
            <w:tcW w:w="3720" w:type="dxa"/>
            <w:vAlign w:val="center"/>
          </w:tcPr>
          <w:p w14:paraId="32F201C7">
            <w:pPr>
              <w:pStyle w:val="12"/>
              <w:rPr>
                <w:rFonts w:hAnsi="宋体"/>
                <w:color w:val="000000"/>
                <w:szCs w:val="21"/>
                <w:highlight w:val="none"/>
              </w:rPr>
            </w:pPr>
            <w:r>
              <w:rPr>
                <w:rFonts w:hint="eastAsia" w:hAnsi="宋体"/>
                <w:color w:val="000000"/>
                <w:szCs w:val="21"/>
                <w:highlight w:val="none"/>
              </w:rPr>
              <w:t>简要内容</w:t>
            </w:r>
          </w:p>
        </w:tc>
        <w:tc>
          <w:tcPr>
            <w:tcW w:w="2365" w:type="dxa"/>
          </w:tcPr>
          <w:p w14:paraId="42007383">
            <w:pPr>
              <w:pStyle w:val="12"/>
              <w:jc w:val="center"/>
              <w:rPr>
                <w:rFonts w:hAnsi="宋体"/>
                <w:color w:val="000000"/>
                <w:szCs w:val="21"/>
                <w:highlight w:val="none"/>
              </w:rPr>
            </w:pPr>
            <w:r>
              <w:rPr>
                <w:rFonts w:hint="eastAsia" w:hAnsi="宋体"/>
                <w:color w:val="000000"/>
                <w:szCs w:val="21"/>
                <w:highlight w:val="none"/>
              </w:rPr>
              <w:t>是否响应</w:t>
            </w:r>
          </w:p>
        </w:tc>
        <w:tc>
          <w:tcPr>
            <w:tcW w:w="2365" w:type="dxa"/>
          </w:tcPr>
          <w:p w14:paraId="738B8F89">
            <w:pPr>
              <w:pStyle w:val="12"/>
              <w:ind w:firstLine="420" w:firstLineChars="200"/>
              <w:jc w:val="center"/>
              <w:rPr>
                <w:rFonts w:hAnsi="宋体"/>
                <w:color w:val="000000"/>
                <w:szCs w:val="21"/>
                <w:highlight w:val="none"/>
              </w:rPr>
            </w:pPr>
            <w:r>
              <w:rPr>
                <w:rFonts w:hint="eastAsia" w:hAnsi="宋体"/>
                <w:color w:val="000000"/>
                <w:szCs w:val="21"/>
                <w:highlight w:val="none"/>
              </w:rPr>
              <w:t>差异说明</w:t>
            </w:r>
          </w:p>
        </w:tc>
      </w:tr>
      <w:tr w14:paraId="66C07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8F344CC">
            <w:pPr>
              <w:pStyle w:val="12"/>
              <w:jc w:val="center"/>
              <w:rPr>
                <w:rFonts w:hAnsi="宋体"/>
                <w:color w:val="000000"/>
                <w:szCs w:val="21"/>
                <w:highlight w:val="none"/>
              </w:rPr>
            </w:pPr>
            <w:r>
              <w:rPr>
                <w:rFonts w:hint="eastAsia" w:hAnsi="宋体"/>
                <w:color w:val="000000"/>
                <w:szCs w:val="21"/>
                <w:highlight w:val="none"/>
              </w:rPr>
              <w:t>1</w:t>
            </w:r>
          </w:p>
        </w:tc>
        <w:tc>
          <w:tcPr>
            <w:tcW w:w="3720" w:type="dxa"/>
            <w:vAlign w:val="center"/>
          </w:tcPr>
          <w:p w14:paraId="5137BB1B">
            <w:pPr>
              <w:pStyle w:val="12"/>
              <w:rPr>
                <w:rFonts w:hAnsi="宋体"/>
                <w:color w:val="000000"/>
                <w:szCs w:val="21"/>
                <w:highlight w:val="none"/>
              </w:rPr>
            </w:pPr>
          </w:p>
        </w:tc>
        <w:tc>
          <w:tcPr>
            <w:tcW w:w="2365" w:type="dxa"/>
          </w:tcPr>
          <w:p w14:paraId="5FA4D076">
            <w:pPr>
              <w:pStyle w:val="12"/>
              <w:rPr>
                <w:rFonts w:hAnsi="宋体"/>
                <w:color w:val="000000"/>
                <w:szCs w:val="21"/>
                <w:highlight w:val="none"/>
              </w:rPr>
            </w:pPr>
          </w:p>
        </w:tc>
        <w:tc>
          <w:tcPr>
            <w:tcW w:w="2365" w:type="dxa"/>
          </w:tcPr>
          <w:p w14:paraId="1175670F">
            <w:pPr>
              <w:pStyle w:val="12"/>
              <w:rPr>
                <w:rFonts w:hAnsi="宋体"/>
                <w:color w:val="000000"/>
                <w:szCs w:val="21"/>
                <w:highlight w:val="none"/>
              </w:rPr>
            </w:pPr>
          </w:p>
        </w:tc>
      </w:tr>
      <w:tr w14:paraId="34F01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F05E327">
            <w:pPr>
              <w:pStyle w:val="12"/>
              <w:jc w:val="center"/>
              <w:rPr>
                <w:rFonts w:hAnsi="宋体"/>
                <w:color w:val="000000"/>
                <w:szCs w:val="21"/>
                <w:highlight w:val="none"/>
              </w:rPr>
            </w:pPr>
            <w:r>
              <w:rPr>
                <w:rFonts w:hint="eastAsia" w:hAnsi="宋体"/>
                <w:color w:val="000000"/>
                <w:szCs w:val="21"/>
                <w:highlight w:val="none"/>
              </w:rPr>
              <w:t>2</w:t>
            </w:r>
          </w:p>
        </w:tc>
        <w:tc>
          <w:tcPr>
            <w:tcW w:w="3720" w:type="dxa"/>
            <w:vAlign w:val="center"/>
          </w:tcPr>
          <w:p w14:paraId="1DD068F3">
            <w:pPr>
              <w:pStyle w:val="12"/>
              <w:rPr>
                <w:rFonts w:hAnsi="宋体"/>
                <w:color w:val="000000"/>
                <w:szCs w:val="21"/>
                <w:highlight w:val="none"/>
              </w:rPr>
            </w:pPr>
          </w:p>
        </w:tc>
        <w:tc>
          <w:tcPr>
            <w:tcW w:w="2365" w:type="dxa"/>
          </w:tcPr>
          <w:p w14:paraId="5AA90EC3">
            <w:pPr>
              <w:pStyle w:val="12"/>
              <w:rPr>
                <w:rFonts w:hAnsi="宋体"/>
                <w:color w:val="000000"/>
                <w:szCs w:val="21"/>
                <w:highlight w:val="none"/>
              </w:rPr>
            </w:pPr>
          </w:p>
        </w:tc>
        <w:tc>
          <w:tcPr>
            <w:tcW w:w="2365" w:type="dxa"/>
          </w:tcPr>
          <w:p w14:paraId="658E94AC">
            <w:pPr>
              <w:pStyle w:val="12"/>
              <w:rPr>
                <w:rFonts w:hAnsi="宋体"/>
                <w:color w:val="000000"/>
                <w:szCs w:val="21"/>
                <w:highlight w:val="none"/>
              </w:rPr>
            </w:pPr>
          </w:p>
        </w:tc>
      </w:tr>
      <w:tr w14:paraId="24990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5D16F30">
            <w:pPr>
              <w:pStyle w:val="12"/>
              <w:jc w:val="center"/>
              <w:rPr>
                <w:rFonts w:hAnsi="宋体"/>
                <w:color w:val="000000"/>
                <w:szCs w:val="21"/>
                <w:highlight w:val="none"/>
              </w:rPr>
            </w:pPr>
            <w:r>
              <w:rPr>
                <w:rFonts w:hAnsi="宋体"/>
                <w:color w:val="000000"/>
                <w:szCs w:val="21"/>
                <w:highlight w:val="none"/>
              </w:rPr>
              <w:t>……</w:t>
            </w:r>
          </w:p>
        </w:tc>
        <w:tc>
          <w:tcPr>
            <w:tcW w:w="3720" w:type="dxa"/>
            <w:vAlign w:val="center"/>
          </w:tcPr>
          <w:p w14:paraId="5880BAC0">
            <w:pPr>
              <w:pStyle w:val="12"/>
              <w:rPr>
                <w:rFonts w:hAnsi="宋体"/>
                <w:color w:val="000000"/>
                <w:szCs w:val="21"/>
                <w:highlight w:val="none"/>
              </w:rPr>
            </w:pPr>
          </w:p>
        </w:tc>
        <w:tc>
          <w:tcPr>
            <w:tcW w:w="2365" w:type="dxa"/>
          </w:tcPr>
          <w:p w14:paraId="764A27A4">
            <w:pPr>
              <w:pStyle w:val="12"/>
              <w:rPr>
                <w:rFonts w:hAnsi="宋体"/>
                <w:color w:val="000000"/>
                <w:szCs w:val="21"/>
                <w:highlight w:val="none"/>
              </w:rPr>
            </w:pPr>
          </w:p>
        </w:tc>
        <w:tc>
          <w:tcPr>
            <w:tcW w:w="2365" w:type="dxa"/>
          </w:tcPr>
          <w:p w14:paraId="7CCE65E8">
            <w:pPr>
              <w:pStyle w:val="12"/>
              <w:rPr>
                <w:rFonts w:hAnsi="宋体"/>
                <w:color w:val="000000"/>
                <w:szCs w:val="21"/>
                <w:highlight w:val="none"/>
              </w:rPr>
            </w:pPr>
          </w:p>
        </w:tc>
      </w:tr>
    </w:tbl>
    <w:p w14:paraId="0355CB28">
      <w:pPr>
        <w:spacing w:before="120"/>
        <w:ind w:left="719" w:hanging="716" w:hangingChars="341"/>
        <w:rPr>
          <w:rFonts w:ascii="宋体" w:hAnsi="宋体"/>
          <w:b/>
          <w:color w:val="000000"/>
          <w:szCs w:val="21"/>
          <w:highlight w:val="none"/>
        </w:rPr>
      </w:pPr>
      <w:r>
        <w:rPr>
          <w:rFonts w:hint="eastAsia" w:ascii="宋体" w:hAnsi="宋体"/>
          <w:b/>
          <w:color w:val="000000"/>
          <w:szCs w:val="21"/>
          <w:highlight w:val="none"/>
        </w:rPr>
        <w:t>注： 1.投标人应对照招标文件第三章合同条款对应填写，完全满足的在“是否响应”栏中填“响应”；有差异的则在“差异说明”栏中列出差异的具体内容。</w:t>
      </w:r>
    </w:p>
    <w:p w14:paraId="6944F20F">
      <w:pPr>
        <w:pStyle w:val="12"/>
        <w:ind w:firstLine="514" w:firstLineChars="245"/>
        <w:rPr>
          <w:rFonts w:hAnsi="宋体"/>
          <w:b/>
          <w:color w:val="000000"/>
          <w:szCs w:val="21"/>
          <w:highlight w:val="none"/>
        </w:rPr>
      </w:pPr>
      <w:r>
        <w:rPr>
          <w:rFonts w:hint="eastAsia" w:hAnsi="宋体"/>
          <w:b/>
          <w:color w:val="000000"/>
          <w:szCs w:val="21"/>
          <w:highlight w:val="none"/>
        </w:rPr>
        <w:t>2.除“差异说明”栏所列的内容以外，其余按《合同书》格式中的条款执行。</w:t>
      </w:r>
    </w:p>
    <w:p w14:paraId="0BECC36C">
      <w:pPr>
        <w:pStyle w:val="12"/>
        <w:ind w:firstLine="514" w:firstLineChars="245"/>
        <w:rPr>
          <w:color w:val="000000"/>
          <w:highlight w:val="none"/>
        </w:rPr>
      </w:pPr>
      <w:r>
        <w:rPr>
          <w:rFonts w:hint="eastAsia"/>
          <w:color w:val="000000"/>
          <w:highlight w:val="none"/>
        </w:rPr>
        <w:t>3、上述表格没有列出相应条款的，即视为完全响应招标文件要求。</w:t>
      </w:r>
    </w:p>
    <w:p w14:paraId="6BF669A0">
      <w:pPr>
        <w:spacing w:line="300" w:lineRule="auto"/>
        <w:rPr>
          <w:rFonts w:ascii="宋体" w:hAnsi="宋体"/>
          <w:bCs/>
          <w:color w:val="000000"/>
          <w:szCs w:val="21"/>
          <w:highlight w:val="none"/>
        </w:rPr>
      </w:pPr>
      <w:r>
        <w:rPr>
          <w:rFonts w:hint="eastAsia" w:ascii="宋体" w:hAnsi="宋体"/>
          <w:bCs/>
          <w:color w:val="000000"/>
          <w:szCs w:val="21"/>
          <w:highlight w:val="none"/>
        </w:rPr>
        <w:t>投标人全称（加盖公章）:</w:t>
      </w:r>
    </w:p>
    <w:p w14:paraId="64143C88">
      <w:pPr>
        <w:spacing w:before="120" w:line="300" w:lineRule="auto"/>
        <w:rPr>
          <w:rFonts w:ascii="宋体" w:hAnsi="宋体"/>
          <w:bCs/>
          <w:color w:val="000000"/>
          <w:szCs w:val="21"/>
          <w:highlight w:val="none"/>
        </w:rPr>
      </w:pPr>
      <w:r>
        <w:rPr>
          <w:rFonts w:hint="eastAsia" w:ascii="宋体" w:hAnsi="宋体"/>
          <w:bCs/>
          <w:color w:val="000000"/>
          <w:szCs w:val="21"/>
          <w:highlight w:val="none"/>
        </w:rPr>
        <w:t>法定代表人或其投标人授权代表(签字)：               日    期：     年   月   日</w:t>
      </w:r>
    </w:p>
    <w:p w14:paraId="424AB64B">
      <w:pPr>
        <w:spacing w:before="120" w:line="300" w:lineRule="auto"/>
        <w:rPr>
          <w:rFonts w:ascii="宋体" w:hAnsi="宋体"/>
          <w:bCs/>
          <w:color w:val="000000"/>
          <w:szCs w:val="21"/>
          <w:highlight w:val="none"/>
        </w:rPr>
      </w:pPr>
    </w:p>
    <w:p w14:paraId="295734F5">
      <w:pPr>
        <w:pStyle w:val="4"/>
        <w:rPr>
          <w:rFonts w:ascii="黑体"/>
          <w:color w:val="000000"/>
          <w:highlight w:val="none"/>
        </w:rPr>
      </w:pPr>
      <w:bookmarkStart w:id="1172" w:name="_Toc224435736"/>
      <w:bookmarkStart w:id="1173" w:name="_Toc42951058"/>
      <w:bookmarkStart w:id="1174" w:name="_Toc225565959"/>
      <w:bookmarkStart w:id="1175" w:name="_Toc228644984"/>
      <w:bookmarkStart w:id="1176" w:name="_Toc225565962"/>
      <w:bookmarkStart w:id="1177" w:name="_Toc228899513"/>
      <w:bookmarkStart w:id="1178" w:name="_Toc228644987"/>
      <w:bookmarkStart w:id="1179" w:name="_Toc224435733"/>
      <w:bookmarkStart w:id="1180" w:name="_Toc228899516"/>
      <w:bookmarkStart w:id="1181" w:name="_Toc223939113"/>
      <w:bookmarkStart w:id="1182" w:name="_Toc223939116"/>
      <w:bookmarkStart w:id="1183" w:name="_Toc42951055"/>
      <w:bookmarkStart w:id="1184" w:name="_Toc245819144"/>
      <w:bookmarkStart w:id="1185" w:name="_Toc334795495"/>
    </w:p>
    <w:p w14:paraId="2EAC7B21">
      <w:pPr>
        <w:pStyle w:val="4"/>
        <w:rPr>
          <w:rFonts w:ascii="黑体"/>
          <w:color w:val="000000"/>
          <w:highlight w:val="none"/>
        </w:rPr>
        <w:sectPr>
          <w:footerReference r:id="rId27" w:type="default"/>
          <w:pgSz w:w="11906" w:h="16838"/>
          <w:pgMar w:top="936" w:right="1021" w:bottom="936" w:left="1021" w:header="737" w:footer="737" w:gutter="0"/>
          <w:cols w:space="720" w:num="1"/>
          <w:docGrid w:type="linesAndChars" w:linePitch="312" w:charSpace="0"/>
        </w:sectPr>
      </w:pPr>
    </w:p>
    <w:p w14:paraId="7B188B0F">
      <w:pPr>
        <w:pStyle w:val="4"/>
        <w:rPr>
          <w:b w:val="0"/>
          <w:color w:val="000000"/>
          <w:highlight w:val="none"/>
        </w:rPr>
      </w:pPr>
      <w:r>
        <w:rPr>
          <w:rFonts w:hint="eastAsia" w:ascii="黑体"/>
          <w:color w:val="000000"/>
          <w:highlight w:val="none"/>
        </w:rPr>
        <w:t>格式14</w:t>
      </w:r>
      <w:r>
        <w:rPr>
          <w:rFonts w:hint="eastAsia"/>
          <w:color w:val="000000"/>
          <w:highlight w:val="none"/>
        </w:rPr>
        <w:t xml:space="preserve">           </w:t>
      </w:r>
      <w:bookmarkEnd w:id="1172"/>
      <w:bookmarkEnd w:id="1173"/>
      <w:bookmarkEnd w:id="1174"/>
      <w:bookmarkEnd w:id="1175"/>
      <w:bookmarkEnd w:id="1176"/>
      <w:bookmarkEnd w:id="1177"/>
      <w:bookmarkEnd w:id="1178"/>
      <w:bookmarkEnd w:id="1179"/>
      <w:bookmarkEnd w:id="1180"/>
      <w:bookmarkEnd w:id="1181"/>
      <w:bookmarkEnd w:id="1182"/>
      <w:bookmarkEnd w:id="1183"/>
      <w:r>
        <w:rPr>
          <w:rFonts w:hint="eastAsia"/>
          <w:color w:val="000000"/>
          <w:highlight w:val="none"/>
        </w:rPr>
        <w:t xml:space="preserve">   投标保证金汇款声明函</w:t>
      </w:r>
      <w:bookmarkEnd w:id="1184"/>
      <w:bookmarkEnd w:id="1185"/>
      <w:r>
        <w:rPr>
          <w:rFonts w:hint="eastAsia" w:cs="Arial"/>
          <w:color w:val="000000"/>
          <w:sz w:val="24"/>
          <w:highlight w:val="none"/>
        </w:rPr>
        <w:t xml:space="preserve">                            </w:t>
      </w:r>
    </w:p>
    <w:p w14:paraId="50F1BB41">
      <w:pPr>
        <w:spacing w:line="300" w:lineRule="auto"/>
        <w:rPr>
          <w:rFonts w:ascii="宋体" w:hAnsi="宋体"/>
          <w:color w:val="000000"/>
          <w:szCs w:val="21"/>
          <w:highlight w:val="none"/>
        </w:rPr>
      </w:pPr>
      <w:r>
        <w:rPr>
          <w:rFonts w:hint="eastAsia" w:ascii="宋体" w:hAnsi="宋体" w:cs="Arial"/>
          <w:b/>
          <w:color w:val="000000"/>
          <w:szCs w:val="21"/>
          <w:highlight w:val="none"/>
        </w:rPr>
        <w:t>致：</w:t>
      </w:r>
      <w:r>
        <w:rPr>
          <w:rFonts w:hint="eastAsia" w:ascii="宋体" w:hAnsi="宋体"/>
          <w:b/>
          <w:color w:val="000000"/>
          <w:szCs w:val="21"/>
          <w:highlight w:val="none"/>
        </w:rPr>
        <w:t>广东群升招标代理有限公司</w:t>
      </w:r>
      <w:r>
        <w:rPr>
          <w:rFonts w:ascii="宋体" w:hAnsi="宋体"/>
          <w:color w:val="000000"/>
          <w:szCs w:val="21"/>
          <w:highlight w:val="none"/>
        </w:rPr>
        <w:tab/>
      </w:r>
    </w:p>
    <w:p w14:paraId="29C80C56">
      <w:pPr>
        <w:spacing w:line="300" w:lineRule="auto"/>
        <w:ind w:firstLine="420" w:firstLineChars="200"/>
        <w:rPr>
          <w:rFonts w:ascii="宋体" w:hAnsi="宋体" w:cs="Arial"/>
          <w:b/>
          <w:bCs/>
          <w:color w:val="000000"/>
          <w:szCs w:val="21"/>
          <w:highlight w:val="none"/>
          <w:u w:val="single"/>
        </w:rPr>
      </w:pPr>
      <w:r>
        <w:rPr>
          <w:rFonts w:hint="eastAsia" w:ascii="宋体" w:hAnsi="宋体" w:cs="Arial"/>
          <w:color w:val="000000"/>
          <w:szCs w:val="21"/>
          <w:highlight w:val="none"/>
        </w:rPr>
        <w:t>我方为</w:t>
      </w:r>
      <w:r>
        <w:rPr>
          <w:rFonts w:hint="eastAsia" w:ascii="宋体" w:hAnsi="宋体" w:cs="Arial"/>
          <w:color w:val="000000"/>
          <w:szCs w:val="21"/>
          <w:highlight w:val="none"/>
          <w:u w:val="single"/>
        </w:rPr>
        <w:t xml:space="preserve">                     </w:t>
      </w:r>
      <w:r>
        <w:rPr>
          <w:rFonts w:hint="eastAsia" w:ascii="宋体" w:hAnsi="宋体" w:cs="Arial"/>
          <w:color w:val="000000"/>
          <w:szCs w:val="21"/>
          <w:highlight w:val="none"/>
        </w:rPr>
        <w:t>项目（项目编号：</w:t>
      </w:r>
      <w:r>
        <w:rPr>
          <w:rFonts w:hint="eastAsia" w:ascii="宋体" w:hAnsi="宋体" w:cs="Arial"/>
          <w:color w:val="000000"/>
          <w:szCs w:val="21"/>
          <w:highlight w:val="none"/>
          <w:u w:val="single"/>
        </w:rPr>
        <w:t xml:space="preserve">                  </w:t>
      </w:r>
      <w:r>
        <w:rPr>
          <w:rFonts w:hint="eastAsia" w:ascii="宋体" w:hAnsi="宋体" w:cs="Arial"/>
          <w:color w:val="000000"/>
          <w:szCs w:val="21"/>
          <w:highlight w:val="none"/>
        </w:rPr>
        <w:t>）递交投标保证金人民币</w:t>
      </w:r>
      <w:r>
        <w:rPr>
          <w:rFonts w:hint="eastAsia" w:ascii="宋体" w:hAnsi="宋体" w:cs="Arial"/>
          <w:color w:val="000000"/>
          <w:szCs w:val="21"/>
          <w:highlight w:val="none"/>
          <w:u w:val="single"/>
        </w:rPr>
        <w:t xml:space="preserve">            </w:t>
      </w:r>
      <w:r>
        <w:rPr>
          <w:rFonts w:hint="eastAsia" w:ascii="宋体" w:hAnsi="宋体" w:cs="Arial"/>
          <w:color w:val="000000"/>
          <w:szCs w:val="21"/>
          <w:highlight w:val="none"/>
        </w:rPr>
        <w:t>元（大写：人民币</w:t>
      </w:r>
      <w:r>
        <w:rPr>
          <w:rFonts w:hint="eastAsia" w:ascii="宋体" w:hAnsi="宋体" w:cs="Arial"/>
          <w:color w:val="000000"/>
          <w:szCs w:val="21"/>
          <w:highlight w:val="none"/>
          <w:u w:val="single"/>
        </w:rPr>
        <w:t xml:space="preserve">                        </w:t>
      </w:r>
      <w:r>
        <w:rPr>
          <w:rFonts w:hint="eastAsia" w:ascii="宋体" w:hAnsi="宋体" w:cs="Arial"/>
          <w:color w:val="000000"/>
          <w:szCs w:val="21"/>
          <w:highlight w:val="none"/>
        </w:rPr>
        <w:t>元）已于</w:t>
      </w:r>
      <w:r>
        <w:rPr>
          <w:rFonts w:hint="eastAsia" w:ascii="宋体" w:hAnsi="宋体" w:cs="Arial"/>
          <w:color w:val="000000"/>
          <w:szCs w:val="21"/>
          <w:highlight w:val="none"/>
          <w:u w:val="single"/>
        </w:rPr>
        <w:t xml:space="preserve">      </w:t>
      </w:r>
      <w:r>
        <w:rPr>
          <w:rFonts w:hint="eastAsia" w:ascii="宋体" w:hAnsi="宋体" w:cs="Arial"/>
          <w:color w:val="000000"/>
          <w:szCs w:val="21"/>
          <w:highlight w:val="none"/>
        </w:rPr>
        <w:t>年</w:t>
      </w:r>
      <w:r>
        <w:rPr>
          <w:rFonts w:hint="eastAsia" w:ascii="宋体" w:hAnsi="宋体" w:cs="Arial"/>
          <w:color w:val="000000"/>
          <w:szCs w:val="21"/>
          <w:highlight w:val="none"/>
          <w:u w:val="single"/>
        </w:rPr>
        <w:t xml:space="preserve">   </w:t>
      </w:r>
      <w:r>
        <w:rPr>
          <w:rFonts w:hint="eastAsia" w:ascii="宋体" w:hAnsi="宋体" w:cs="Arial"/>
          <w:color w:val="000000"/>
          <w:szCs w:val="21"/>
          <w:highlight w:val="none"/>
        </w:rPr>
        <w:t>月</w:t>
      </w:r>
      <w:r>
        <w:rPr>
          <w:rFonts w:hint="eastAsia" w:ascii="宋体" w:hAnsi="宋体" w:cs="Arial"/>
          <w:color w:val="000000"/>
          <w:szCs w:val="21"/>
          <w:highlight w:val="none"/>
          <w:u w:val="single"/>
        </w:rPr>
        <w:t xml:space="preserve">   </w:t>
      </w:r>
      <w:r>
        <w:rPr>
          <w:rFonts w:hint="eastAsia" w:ascii="宋体" w:hAnsi="宋体" w:cs="Arial"/>
          <w:color w:val="000000"/>
          <w:szCs w:val="21"/>
          <w:highlight w:val="none"/>
        </w:rPr>
        <w:t>日以银行主动划账方式划入你方账户。</w:t>
      </w:r>
      <w:r>
        <w:rPr>
          <w:rFonts w:hint="eastAsia" w:ascii="宋体" w:hAnsi="宋体" w:cs="Arial"/>
          <w:b/>
          <w:bCs/>
          <w:color w:val="000000"/>
          <w:szCs w:val="21"/>
          <w:highlight w:val="none"/>
          <w:u w:val="single"/>
        </w:rPr>
        <w:t>详见附件：银行出具的汇款单或转账凭证复印件。</w:t>
      </w:r>
    </w:p>
    <w:p w14:paraId="28C04107">
      <w:pPr>
        <w:spacing w:line="300" w:lineRule="auto"/>
        <w:ind w:firstLine="420" w:firstLineChars="200"/>
        <w:rPr>
          <w:rFonts w:ascii="宋体" w:hAnsi="宋体" w:cs="Arial"/>
          <w:color w:val="000000"/>
          <w:szCs w:val="21"/>
          <w:highlight w:val="none"/>
        </w:rPr>
      </w:pPr>
      <w:r>
        <w:rPr>
          <w:rFonts w:hint="eastAsia" w:ascii="宋体" w:hAnsi="宋体" w:cs="Arial"/>
          <w:color w:val="000000"/>
          <w:szCs w:val="21"/>
          <w:highlight w:val="none"/>
        </w:rPr>
        <w:t>退还保证金时请按以下内容划入我方账户。若因内容不全、错误、字迹潦草模糊导致该项目保证金未能及时退还或退还过程中发生错误，我方将自行承担全部责任和损失。</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754"/>
        <w:gridCol w:w="2954"/>
        <w:gridCol w:w="1356"/>
        <w:gridCol w:w="1524"/>
      </w:tblGrid>
      <w:tr w14:paraId="162A8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860" w:type="dxa"/>
            <w:vMerge w:val="restart"/>
            <w:textDirection w:val="tbRlV"/>
            <w:vAlign w:val="center"/>
          </w:tcPr>
          <w:p w14:paraId="0D9C4B56">
            <w:pPr>
              <w:spacing w:line="300" w:lineRule="auto"/>
              <w:ind w:left="113" w:right="113"/>
              <w:jc w:val="center"/>
              <w:rPr>
                <w:rFonts w:ascii="宋体"/>
                <w:color w:val="000000"/>
                <w:szCs w:val="21"/>
                <w:highlight w:val="none"/>
              </w:rPr>
            </w:pPr>
            <w:r>
              <w:rPr>
                <w:rFonts w:hint="eastAsia" w:ascii="宋体"/>
                <w:color w:val="000000"/>
                <w:szCs w:val="21"/>
                <w:highlight w:val="none"/>
              </w:rPr>
              <w:t>收 款 人</w:t>
            </w:r>
          </w:p>
        </w:tc>
        <w:tc>
          <w:tcPr>
            <w:tcW w:w="2754" w:type="dxa"/>
            <w:vAlign w:val="center"/>
          </w:tcPr>
          <w:p w14:paraId="74202EE8">
            <w:pPr>
              <w:spacing w:line="300" w:lineRule="auto"/>
              <w:jc w:val="center"/>
              <w:rPr>
                <w:rFonts w:ascii="宋体"/>
                <w:color w:val="000000"/>
                <w:szCs w:val="21"/>
                <w:highlight w:val="none"/>
              </w:rPr>
            </w:pPr>
            <w:r>
              <w:rPr>
                <w:rFonts w:hint="eastAsia" w:ascii="宋体"/>
                <w:color w:val="000000"/>
                <w:szCs w:val="21"/>
                <w:highlight w:val="none"/>
              </w:rPr>
              <w:t>收款人名称</w:t>
            </w:r>
          </w:p>
        </w:tc>
        <w:tc>
          <w:tcPr>
            <w:tcW w:w="5834" w:type="dxa"/>
            <w:gridSpan w:val="3"/>
            <w:vAlign w:val="center"/>
          </w:tcPr>
          <w:p w14:paraId="24BCB62D">
            <w:pPr>
              <w:spacing w:line="300" w:lineRule="auto"/>
              <w:jc w:val="center"/>
              <w:rPr>
                <w:rFonts w:ascii="宋体"/>
                <w:color w:val="000000"/>
                <w:szCs w:val="21"/>
                <w:highlight w:val="none"/>
              </w:rPr>
            </w:pPr>
          </w:p>
        </w:tc>
      </w:tr>
      <w:tr w14:paraId="5DC6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60" w:type="dxa"/>
            <w:vMerge w:val="continue"/>
            <w:vAlign w:val="center"/>
          </w:tcPr>
          <w:p w14:paraId="33A09CEA">
            <w:pPr>
              <w:spacing w:line="300" w:lineRule="auto"/>
              <w:jc w:val="center"/>
              <w:rPr>
                <w:rFonts w:ascii="宋体"/>
                <w:color w:val="000000"/>
                <w:szCs w:val="21"/>
                <w:highlight w:val="none"/>
              </w:rPr>
            </w:pPr>
          </w:p>
        </w:tc>
        <w:tc>
          <w:tcPr>
            <w:tcW w:w="2754" w:type="dxa"/>
            <w:vAlign w:val="center"/>
          </w:tcPr>
          <w:p w14:paraId="06C83FFF">
            <w:pPr>
              <w:spacing w:line="300" w:lineRule="auto"/>
              <w:jc w:val="center"/>
              <w:rPr>
                <w:rFonts w:ascii="宋体"/>
                <w:color w:val="000000"/>
                <w:szCs w:val="21"/>
                <w:highlight w:val="none"/>
              </w:rPr>
            </w:pPr>
            <w:r>
              <w:rPr>
                <w:rFonts w:hint="eastAsia" w:ascii="宋体"/>
                <w:color w:val="000000"/>
                <w:szCs w:val="21"/>
                <w:highlight w:val="none"/>
              </w:rPr>
              <w:t>收款人地址</w:t>
            </w:r>
          </w:p>
        </w:tc>
        <w:tc>
          <w:tcPr>
            <w:tcW w:w="5834" w:type="dxa"/>
            <w:gridSpan w:val="3"/>
            <w:vAlign w:val="center"/>
          </w:tcPr>
          <w:p w14:paraId="33EB033F">
            <w:pPr>
              <w:spacing w:line="300" w:lineRule="auto"/>
              <w:jc w:val="center"/>
              <w:rPr>
                <w:rFonts w:ascii="宋体"/>
                <w:color w:val="000000"/>
                <w:szCs w:val="21"/>
                <w:highlight w:val="none"/>
              </w:rPr>
            </w:pPr>
          </w:p>
        </w:tc>
      </w:tr>
      <w:tr w14:paraId="358F2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860" w:type="dxa"/>
            <w:vMerge w:val="continue"/>
            <w:vAlign w:val="center"/>
          </w:tcPr>
          <w:p w14:paraId="4AFEC790">
            <w:pPr>
              <w:spacing w:line="300" w:lineRule="auto"/>
              <w:jc w:val="center"/>
              <w:rPr>
                <w:rFonts w:ascii="宋体"/>
                <w:color w:val="000000"/>
                <w:szCs w:val="21"/>
                <w:highlight w:val="none"/>
              </w:rPr>
            </w:pPr>
          </w:p>
        </w:tc>
        <w:tc>
          <w:tcPr>
            <w:tcW w:w="2754" w:type="dxa"/>
            <w:vAlign w:val="center"/>
          </w:tcPr>
          <w:p w14:paraId="1759B1BE">
            <w:pPr>
              <w:spacing w:line="300" w:lineRule="auto"/>
              <w:jc w:val="center"/>
              <w:rPr>
                <w:rFonts w:ascii="宋体"/>
                <w:color w:val="000000"/>
                <w:szCs w:val="21"/>
                <w:highlight w:val="none"/>
              </w:rPr>
            </w:pPr>
            <w:r>
              <w:rPr>
                <w:rFonts w:hint="eastAsia" w:ascii="宋体"/>
                <w:color w:val="000000"/>
                <w:szCs w:val="21"/>
                <w:highlight w:val="none"/>
              </w:rPr>
              <w:t>开户银行（含汇入地点）</w:t>
            </w:r>
          </w:p>
        </w:tc>
        <w:tc>
          <w:tcPr>
            <w:tcW w:w="2954" w:type="dxa"/>
            <w:vAlign w:val="center"/>
          </w:tcPr>
          <w:p w14:paraId="6DFA1736">
            <w:pPr>
              <w:spacing w:line="300" w:lineRule="auto"/>
              <w:jc w:val="center"/>
              <w:rPr>
                <w:rFonts w:ascii="宋体"/>
                <w:color w:val="000000"/>
                <w:szCs w:val="21"/>
                <w:highlight w:val="none"/>
              </w:rPr>
            </w:pPr>
          </w:p>
        </w:tc>
        <w:tc>
          <w:tcPr>
            <w:tcW w:w="1356" w:type="dxa"/>
            <w:vAlign w:val="center"/>
          </w:tcPr>
          <w:p w14:paraId="36E559B2">
            <w:pPr>
              <w:spacing w:line="300" w:lineRule="auto"/>
              <w:jc w:val="center"/>
              <w:rPr>
                <w:rFonts w:ascii="宋体"/>
                <w:color w:val="000000"/>
                <w:szCs w:val="21"/>
                <w:highlight w:val="none"/>
              </w:rPr>
            </w:pPr>
            <w:r>
              <w:rPr>
                <w:rFonts w:hint="eastAsia" w:ascii="宋体"/>
                <w:color w:val="000000"/>
                <w:szCs w:val="21"/>
                <w:highlight w:val="none"/>
              </w:rPr>
              <w:t>联系人</w:t>
            </w:r>
          </w:p>
        </w:tc>
        <w:tc>
          <w:tcPr>
            <w:tcW w:w="1524" w:type="dxa"/>
            <w:vAlign w:val="center"/>
          </w:tcPr>
          <w:p w14:paraId="44C23C34">
            <w:pPr>
              <w:spacing w:line="300" w:lineRule="auto"/>
              <w:jc w:val="center"/>
              <w:rPr>
                <w:rFonts w:ascii="宋体"/>
                <w:color w:val="000000"/>
                <w:szCs w:val="21"/>
                <w:highlight w:val="none"/>
              </w:rPr>
            </w:pPr>
          </w:p>
        </w:tc>
      </w:tr>
      <w:tr w14:paraId="05C89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60" w:type="dxa"/>
            <w:vMerge w:val="continue"/>
            <w:vAlign w:val="center"/>
          </w:tcPr>
          <w:p w14:paraId="287FF965">
            <w:pPr>
              <w:spacing w:line="300" w:lineRule="auto"/>
              <w:jc w:val="center"/>
              <w:rPr>
                <w:rFonts w:ascii="宋体"/>
                <w:color w:val="000000"/>
                <w:szCs w:val="21"/>
                <w:highlight w:val="none"/>
              </w:rPr>
            </w:pPr>
          </w:p>
        </w:tc>
        <w:tc>
          <w:tcPr>
            <w:tcW w:w="2754" w:type="dxa"/>
            <w:vAlign w:val="center"/>
          </w:tcPr>
          <w:p w14:paraId="6F35F0AA">
            <w:pPr>
              <w:spacing w:line="300" w:lineRule="auto"/>
              <w:jc w:val="center"/>
              <w:rPr>
                <w:rFonts w:ascii="宋体"/>
                <w:color w:val="000000"/>
                <w:szCs w:val="21"/>
                <w:highlight w:val="none"/>
              </w:rPr>
            </w:pPr>
            <w:r>
              <w:rPr>
                <w:rFonts w:hint="eastAsia" w:ascii="宋体"/>
                <w:color w:val="000000"/>
                <w:szCs w:val="21"/>
                <w:highlight w:val="none"/>
              </w:rPr>
              <w:t>帐    号</w:t>
            </w:r>
          </w:p>
        </w:tc>
        <w:tc>
          <w:tcPr>
            <w:tcW w:w="2954" w:type="dxa"/>
            <w:vAlign w:val="center"/>
          </w:tcPr>
          <w:p w14:paraId="793D9E86">
            <w:pPr>
              <w:spacing w:line="300" w:lineRule="auto"/>
              <w:jc w:val="center"/>
              <w:rPr>
                <w:rFonts w:ascii="宋体"/>
                <w:color w:val="000000"/>
                <w:szCs w:val="21"/>
                <w:highlight w:val="none"/>
              </w:rPr>
            </w:pPr>
          </w:p>
        </w:tc>
        <w:tc>
          <w:tcPr>
            <w:tcW w:w="1356" w:type="dxa"/>
            <w:vAlign w:val="center"/>
          </w:tcPr>
          <w:p w14:paraId="69B80C8D">
            <w:pPr>
              <w:spacing w:line="300" w:lineRule="auto"/>
              <w:jc w:val="center"/>
              <w:rPr>
                <w:rFonts w:ascii="宋体"/>
                <w:color w:val="000000"/>
                <w:szCs w:val="21"/>
                <w:highlight w:val="none"/>
              </w:rPr>
            </w:pPr>
            <w:r>
              <w:rPr>
                <w:rFonts w:hint="eastAsia" w:ascii="宋体"/>
                <w:color w:val="000000"/>
                <w:szCs w:val="21"/>
                <w:highlight w:val="none"/>
              </w:rPr>
              <w:t>联系电话</w:t>
            </w:r>
          </w:p>
        </w:tc>
        <w:tc>
          <w:tcPr>
            <w:tcW w:w="1524" w:type="dxa"/>
            <w:vAlign w:val="center"/>
          </w:tcPr>
          <w:p w14:paraId="585D2889">
            <w:pPr>
              <w:spacing w:line="300" w:lineRule="auto"/>
              <w:jc w:val="center"/>
              <w:rPr>
                <w:rFonts w:ascii="宋体"/>
                <w:color w:val="000000"/>
                <w:szCs w:val="21"/>
                <w:highlight w:val="none"/>
              </w:rPr>
            </w:pPr>
          </w:p>
        </w:tc>
      </w:tr>
    </w:tbl>
    <w:p w14:paraId="75537B71">
      <w:pPr>
        <w:spacing w:line="300" w:lineRule="auto"/>
        <w:rPr>
          <w:rFonts w:ascii="宋体" w:hAnsi="宋体"/>
          <w:bCs/>
          <w:color w:val="000000"/>
          <w:szCs w:val="21"/>
          <w:highlight w:val="none"/>
        </w:rPr>
      </w:pPr>
      <w:r>
        <w:rPr>
          <w:rFonts w:hint="eastAsia" w:ascii="宋体" w:hAnsi="宋体"/>
          <w:bCs/>
          <w:color w:val="000000"/>
          <w:szCs w:val="21"/>
          <w:highlight w:val="none"/>
        </w:rPr>
        <w:t>投标人全称（加盖公章）:</w:t>
      </w:r>
    </w:p>
    <w:p w14:paraId="00A6DC3B">
      <w:pPr>
        <w:tabs>
          <w:tab w:val="left" w:pos="3885"/>
        </w:tabs>
        <w:spacing w:line="300" w:lineRule="auto"/>
        <w:rPr>
          <w:rFonts w:ascii="宋体" w:hAnsi="宋体" w:cs="Arial"/>
          <w:color w:val="000000"/>
          <w:szCs w:val="21"/>
          <w:highlight w:val="none"/>
        </w:rPr>
      </w:pPr>
      <w:r>
        <w:rPr>
          <w:rFonts w:hint="eastAsia" w:ascii="宋体" w:hAnsi="宋体"/>
          <w:bCs/>
          <w:color w:val="000000"/>
          <w:szCs w:val="21"/>
          <w:highlight w:val="none"/>
        </w:rPr>
        <w:t>法定代表人或其投标人授权代表(签字)：               日    期：     年   月   日</w:t>
      </w:r>
    </w:p>
    <w:p w14:paraId="0604CFC9">
      <w:pPr>
        <w:pStyle w:val="12"/>
        <w:spacing w:line="300" w:lineRule="auto"/>
        <w:outlineLvl w:val="0"/>
        <w:rPr>
          <w:b/>
          <w:color w:val="000000"/>
          <w:szCs w:val="21"/>
          <w:highlight w:val="none"/>
        </w:rPr>
      </w:pPr>
      <w:bookmarkStart w:id="1186" w:name="_Toc18993"/>
      <w:bookmarkStart w:id="1187" w:name="_Toc20832"/>
      <w:r>
        <w:rPr>
          <w:rFonts w:hint="eastAsia"/>
          <w:b/>
          <w:color w:val="000000"/>
          <w:szCs w:val="21"/>
          <w:highlight w:val="none"/>
        </w:rPr>
        <w:t>注：投标人应详细填写本文件，并按要求粘贴凭证复印件。本投标保证金汇款声明函应封装进“唱标信封”内。</w:t>
      </w:r>
      <w:bookmarkEnd w:id="1186"/>
      <w:bookmarkEnd w:id="1187"/>
    </w:p>
    <w:p w14:paraId="1E66895B">
      <w:pPr>
        <w:pStyle w:val="12"/>
        <w:outlineLvl w:val="0"/>
        <w:rPr>
          <w:rFonts w:hAnsi="宋体"/>
          <w:bCs/>
          <w:color w:val="000000"/>
          <w:highlight w:val="none"/>
        </w:rPr>
      </w:pPr>
    </w:p>
    <w:p w14:paraId="434BE5CF">
      <w:pPr>
        <w:pStyle w:val="4"/>
        <w:rPr>
          <w:color w:val="000000"/>
          <w:highlight w:val="none"/>
        </w:rPr>
      </w:pPr>
    </w:p>
    <w:p w14:paraId="6F89C1F5">
      <w:pPr>
        <w:rPr>
          <w:color w:val="000000"/>
          <w:highlight w:val="none"/>
        </w:rPr>
      </w:pPr>
    </w:p>
    <w:p w14:paraId="4EBEF2DE">
      <w:pPr>
        <w:rPr>
          <w:color w:val="000000"/>
          <w:highlight w:val="none"/>
        </w:rPr>
      </w:pPr>
    </w:p>
    <w:p w14:paraId="0CEC2176">
      <w:pPr>
        <w:pStyle w:val="4"/>
        <w:rPr>
          <w:color w:val="000000"/>
          <w:highlight w:val="none"/>
        </w:rPr>
        <w:sectPr>
          <w:footerReference r:id="rId28" w:type="default"/>
          <w:pgSz w:w="11906" w:h="16838"/>
          <w:pgMar w:top="936" w:right="1021" w:bottom="936" w:left="1021" w:header="737" w:footer="737" w:gutter="0"/>
          <w:cols w:space="720" w:num="1"/>
          <w:docGrid w:type="linesAndChars" w:linePitch="312" w:charSpace="0"/>
        </w:sectPr>
      </w:pPr>
    </w:p>
    <w:p w14:paraId="4FB64ADB">
      <w:pPr>
        <w:pStyle w:val="4"/>
        <w:rPr>
          <w:b w:val="0"/>
          <w:color w:val="000000"/>
          <w:highlight w:val="none"/>
        </w:rPr>
      </w:pPr>
      <w:r>
        <w:rPr>
          <w:rFonts w:hint="eastAsia"/>
          <w:color w:val="000000"/>
          <w:highlight w:val="none"/>
        </w:rPr>
        <w:t xml:space="preserve">格式15              缴交招标服务费承诺书 </w:t>
      </w:r>
    </w:p>
    <w:p w14:paraId="6344FFE0">
      <w:pPr>
        <w:spacing w:line="300" w:lineRule="auto"/>
        <w:rPr>
          <w:rFonts w:ascii="宋体" w:hAnsi="宋体"/>
          <w:b/>
          <w:color w:val="000000"/>
          <w:szCs w:val="21"/>
          <w:highlight w:val="none"/>
        </w:rPr>
      </w:pPr>
      <w:r>
        <w:rPr>
          <w:rFonts w:hint="eastAsia" w:ascii="宋体" w:hAnsi="宋体"/>
          <w:color w:val="000000"/>
          <w:szCs w:val="21"/>
          <w:highlight w:val="none"/>
        </w:rPr>
        <w:t>致：</w:t>
      </w:r>
      <w:r>
        <w:rPr>
          <w:rFonts w:hint="eastAsia" w:ascii="宋体" w:hAnsi="宋体"/>
          <w:b/>
          <w:color w:val="000000"/>
          <w:szCs w:val="21"/>
          <w:highlight w:val="none"/>
        </w:rPr>
        <w:t>广东群升招标代理有限公司</w:t>
      </w:r>
    </w:p>
    <w:p w14:paraId="3CDFCFF4">
      <w:pPr>
        <w:spacing w:before="240" w:line="300" w:lineRule="auto"/>
        <w:ind w:firstLine="540"/>
        <w:rPr>
          <w:rFonts w:ascii="宋体" w:hAnsi="宋体"/>
          <w:color w:val="000000"/>
          <w:szCs w:val="21"/>
          <w:highlight w:val="none"/>
        </w:rPr>
      </w:pPr>
      <w:r>
        <w:rPr>
          <w:rFonts w:hint="eastAsia" w:ascii="宋体" w:hAnsi="宋体"/>
          <w:color w:val="000000"/>
          <w:szCs w:val="21"/>
          <w:highlight w:val="none"/>
        </w:rPr>
        <w:t>如果我方在贵公司组织的</w:t>
      </w:r>
      <w:r>
        <w:rPr>
          <w:rFonts w:hint="eastAsia" w:ascii="宋体" w:hAnsi="宋体"/>
          <w:iCs/>
          <w:color w:val="000000"/>
          <w:szCs w:val="21"/>
          <w:highlight w:val="none"/>
          <w:u w:val="single"/>
          <w:lang w:eastAsia="zh-CN"/>
        </w:rPr>
        <w:t>潮阳农村商业银行下林分理处新址装修工程项目</w:t>
      </w:r>
      <w:r>
        <w:rPr>
          <w:rFonts w:hint="eastAsia" w:ascii="宋体" w:hAnsi="宋体"/>
          <w:color w:val="000000"/>
          <w:szCs w:val="21"/>
          <w:highlight w:val="none"/>
        </w:rPr>
        <w:t>（项目编号：</w:t>
      </w:r>
      <w:r>
        <w:rPr>
          <w:rFonts w:hint="eastAsia" w:ascii="宋体" w:hAnsi="宋体"/>
          <w:color w:val="000000"/>
          <w:szCs w:val="21"/>
          <w:highlight w:val="none"/>
          <w:u w:val="single"/>
        </w:rPr>
        <w:t xml:space="preserve">             </w:t>
      </w:r>
      <w:r>
        <w:rPr>
          <w:rFonts w:hint="eastAsia" w:ascii="宋体" w:hAnsi="宋体"/>
          <w:color w:val="000000"/>
          <w:szCs w:val="21"/>
          <w:highlight w:val="none"/>
        </w:rPr>
        <w:t>）的设计及服务招标中获中标，我方保证在收到《中标通知书》之前向贵公司交纳中标服务费（按国家计委（计价格[2002]1980号）文件规定执行）。</w:t>
      </w:r>
    </w:p>
    <w:p w14:paraId="08495D92">
      <w:pPr>
        <w:spacing w:before="240" w:line="300" w:lineRule="auto"/>
        <w:ind w:firstLine="539"/>
        <w:rPr>
          <w:rFonts w:ascii="宋体" w:hAnsi="宋体"/>
          <w:color w:val="000000"/>
          <w:szCs w:val="21"/>
          <w:highlight w:val="none"/>
        </w:rPr>
      </w:pPr>
      <w:r>
        <w:rPr>
          <w:rFonts w:hint="eastAsia" w:ascii="宋体" w:hAnsi="宋体"/>
          <w:color w:val="000000"/>
          <w:szCs w:val="21"/>
          <w:highlight w:val="none"/>
        </w:rPr>
        <w:t>我方如违反上款承诺，愿凭贵公司开出的相关通知，按上述承诺金额的200％在我方提交的投标保证金及买方根据中标合同约定支付给我方的合同款中扣付，并在此同意和要求投标保函开立银行及买方（应</w:t>
      </w:r>
      <w:r>
        <w:rPr>
          <w:rFonts w:hint="eastAsia" w:ascii="宋体" w:hAnsi="宋体"/>
          <w:b/>
          <w:color w:val="000000"/>
          <w:szCs w:val="21"/>
          <w:highlight w:val="none"/>
        </w:rPr>
        <w:t>广东群升招标代理有限公司</w:t>
      </w:r>
      <w:r>
        <w:rPr>
          <w:rFonts w:hint="eastAsia" w:ascii="宋体" w:hAnsi="宋体"/>
          <w:color w:val="000000"/>
          <w:szCs w:val="21"/>
          <w:highlight w:val="none"/>
        </w:rPr>
        <w:t>的要求）办理支付手续。</w:t>
      </w:r>
    </w:p>
    <w:p w14:paraId="0011513E">
      <w:pPr>
        <w:spacing w:line="300" w:lineRule="auto"/>
        <w:ind w:firstLine="540"/>
        <w:rPr>
          <w:rFonts w:ascii="宋体" w:hAnsi="宋体"/>
          <w:color w:val="000000"/>
          <w:szCs w:val="21"/>
          <w:highlight w:val="none"/>
        </w:rPr>
      </w:pPr>
      <w:r>
        <w:rPr>
          <w:rFonts w:hint="eastAsia" w:ascii="宋体" w:hAnsi="宋体"/>
          <w:color w:val="000000"/>
          <w:szCs w:val="21"/>
          <w:highlight w:val="none"/>
        </w:rPr>
        <w:t>特此承诺！</w:t>
      </w:r>
    </w:p>
    <w:p w14:paraId="1117F83A">
      <w:pPr>
        <w:spacing w:line="300" w:lineRule="auto"/>
        <w:rPr>
          <w:rFonts w:ascii="宋体" w:hAnsi="宋体"/>
          <w:bCs/>
          <w:color w:val="000000"/>
          <w:szCs w:val="21"/>
          <w:highlight w:val="none"/>
        </w:rPr>
      </w:pPr>
      <w:r>
        <w:rPr>
          <w:rFonts w:hint="eastAsia" w:ascii="宋体" w:hAnsi="宋体"/>
          <w:bCs/>
          <w:color w:val="000000"/>
          <w:szCs w:val="21"/>
          <w:highlight w:val="none"/>
        </w:rPr>
        <w:t>投标人全称（加盖公章）:</w:t>
      </w:r>
    </w:p>
    <w:p w14:paraId="32511C59">
      <w:pPr>
        <w:pStyle w:val="12"/>
        <w:spacing w:line="300" w:lineRule="auto"/>
        <w:outlineLvl w:val="0"/>
        <w:rPr>
          <w:rFonts w:hAnsi="宋体"/>
          <w:bCs/>
          <w:color w:val="000000"/>
          <w:szCs w:val="21"/>
          <w:highlight w:val="none"/>
        </w:rPr>
      </w:pPr>
      <w:bookmarkStart w:id="1188" w:name="_Toc23462"/>
      <w:bookmarkStart w:id="1189" w:name="_Toc23921"/>
      <w:r>
        <w:rPr>
          <w:rFonts w:hint="eastAsia" w:hAnsi="宋体"/>
          <w:bCs/>
          <w:color w:val="000000"/>
          <w:szCs w:val="21"/>
          <w:highlight w:val="none"/>
        </w:rPr>
        <w:t>法定代表人或其投标人授权代表(签字)：               日    期：     年   月   日</w:t>
      </w:r>
      <w:bookmarkEnd w:id="1188"/>
      <w:bookmarkEnd w:id="1189"/>
    </w:p>
    <w:p w14:paraId="749B5DC2">
      <w:pPr>
        <w:pStyle w:val="12"/>
        <w:spacing w:line="300" w:lineRule="auto"/>
        <w:outlineLvl w:val="0"/>
        <w:rPr>
          <w:rFonts w:hAnsi="宋体"/>
          <w:bCs/>
          <w:color w:val="000000"/>
          <w:szCs w:val="21"/>
          <w:highlight w:val="none"/>
        </w:rPr>
      </w:pPr>
    </w:p>
    <w:p w14:paraId="204BF0EA">
      <w:pPr>
        <w:pStyle w:val="4"/>
        <w:spacing w:line="240" w:lineRule="auto"/>
        <w:rPr>
          <w:color w:val="000000"/>
          <w:highlight w:val="none"/>
        </w:rPr>
        <w:sectPr>
          <w:footerReference r:id="rId29" w:type="default"/>
          <w:pgSz w:w="11906" w:h="16838"/>
          <w:pgMar w:top="936" w:right="1021" w:bottom="936" w:left="1021" w:header="737" w:footer="737" w:gutter="0"/>
          <w:cols w:space="720" w:num="1"/>
          <w:docGrid w:type="linesAndChars" w:linePitch="312" w:charSpace="0"/>
        </w:sectPr>
      </w:pPr>
    </w:p>
    <w:p w14:paraId="5D6A6F6D">
      <w:pPr>
        <w:pStyle w:val="4"/>
        <w:spacing w:line="240" w:lineRule="auto"/>
        <w:rPr>
          <w:color w:val="000000"/>
          <w:highlight w:val="none"/>
        </w:rPr>
      </w:pPr>
      <w:r>
        <w:rPr>
          <w:rFonts w:hint="eastAsia"/>
          <w:color w:val="000000"/>
          <w:highlight w:val="none"/>
        </w:rPr>
        <w:t>格式16                 技术评审索引表</w:t>
      </w:r>
    </w:p>
    <w:tbl>
      <w:tblPr>
        <w:tblStyle w:val="22"/>
        <w:tblW w:w="0" w:type="auto"/>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3780"/>
        <w:gridCol w:w="2550"/>
        <w:gridCol w:w="2076"/>
      </w:tblGrid>
      <w:tr w14:paraId="71A3E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tcPr>
          <w:p w14:paraId="796A7178">
            <w:pPr>
              <w:jc w:val="center"/>
              <w:rPr>
                <w:rFonts w:ascii="宋体" w:hAnsi="宋体"/>
                <w:color w:val="000000"/>
                <w:szCs w:val="21"/>
                <w:highlight w:val="none"/>
              </w:rPr>
            </w:pPr>
            <w:r>
              <w:rPr>
                <w:rFonts w:hint="eastAsia" w:ascii="宋体" w:hAnsi="宋体"/>
                <w:color w:val="000000"/>
                <w:szCs w:val="21"/>
                <w:highlight w:val="none"/>
              </w:rPr>
              <w:t>序号</w:t>
            </w:r>
          </w:p>
        </w:tc>
        <w:tc>
          <w:tcPr>
            <w:tcW w:w="3780" w:type="dxa"/>
            <w:vAlign w:val="center"/>
          </w:tcPr>
          <w:p w14:paraId="0F268A2A">
            <w:pPr>
              <w:jc w:val="center"/>
              <w:rPr>
                <w:rFonts w:ascii="宋体" w:hAnsi="宋体"/>
                <w:color w:val="000000"/>
                <w:szCs w:val="21"/>
                <w:highlight w:val="none"/>
              </w:rPr>
            </w:pPr>
            <w:r>
              <w:rPr>
                <w:rFonts w:hint="eastAsia" w:ascii="宋体" w:hAnsi="宋体"/>
                <w:color w:val="000000"/>
                <w:szCs w:val="21"/>
                <w:highlight w:val="none"/>
              </w:rPr>
              <w:t>评审内容</w:t>
            </w:r>
          </w:p>
          <w:p w14:paraId="5D148924">
            <w:pPr>
              <w:jc w:val="center"/>
              <w:rPr>
                <w:rFonts w:ascii="宋体" w:hAnsi="宋体"/>
                <w:color w:val="000000"/>
                <w:szCs w:val="21"/>
                <w:highlight w:val="none"/>
              </w:rPr>
            </w:pPr>
            <w:r>
              <w:rPr>
                <w:rFonts w:hint="eastAsia" w:ascii="宋体" w:hAnsi="宋体"/>
                <w:color w:val="000000"/>
                <w:szCs w:val="21"/>
                <w:highlight w:val="none"/>
              </w:rPr>
              <w:t>（注：此部分可直接引用招标文件第四章评标办法中评审细则相应内容）</w:t>
            </w:r>
          </w:p>
        </w:tc>
        <w:tc>
          <w:tcPr>
            <w:tcW w:w="2550" w:type="dxa"/>
            <w:vAlign w:val="center"/>
          </w:tcPr>
          <w:p w14:paraId="0978A13E">
            <w:pPr>
              <w:jc w:val="center"/>
              <w:rPr>
                <w:rFonts w:ascii="宋体" w:hAnsi="宋体"/>
                <w:color w:val="000000"/>
                <w:szCs w:val="21"/>
                <w:highlight w:val="none"/>
              </w:rPr>
            </w:pPr>
            <w:r>
              <w:rPr>
                <w:rFonts w:hint="eastAsia" w:ascii="宋体" w:hAnsi="宋体"/>
                <w:color w:val="000000"/>
                <w:szCs w:val="21"/>
                <w:highlight w:val="none"/>
              </w:rPr>
              <w:t>投标响应情况</w:t>
            </w:r>
          </w:p>
        </w:tc>
        <w:tc>
          <w:tcPr>
            <w:tcW w:w="2076" w:type="dxa"/>
            <w:vAlign w:val="center"/>
          </w:tcPr>
          <w:p w14:paraId="2EC3F5C7">
            <w:pPr>
              <w:jc w:val="center"/>
              <w:rPr>
                <w:rFonts w:ascii="宋体" w:hAnsi="宋体"/>
                <w:color w:val="000000"/>
                <w:szCs w:val="21"/>
                <w:highlight w:val="none"/>
              </w:rPr>
            </w:pPr>
            <w:r>
              <w:rPr>
                <w:rFonts w:hint="eastAsia" w:ascii="宋体" w:hAnsi="宋体"/>
                <w:color w:val="000000"/>
                <w:szCs w:val="21"/>
                <w:highlight w:val="none"/>
              </w:rPr>
              <w:t>投标文件响应内容对应页码</w:t>
            </w:r>
          </w:p>
        </w:tc>
      </w:tr>
      <w:tr w14:paraId="6940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vAlign w:val="center"/>
          </w:tcPr>
          <w:p w14:paraId="652B3807">
            <w:pPr>
              <w:jc w:val="center"/>
              <w:rPr>
                <w:rFonts w:ascii="宋体" w:hAnsi="宋体"/>
                <w:color w:val="000000"/>
                <w:szCs w:val="21"/>
                <w:highlight w:val="none"/>
              </w:rPr>
            </w:pPr>
            <w:r>
              <w:rPr>
                <w:rFonts w:hint="eastAsia" w:ascii="宋体" w:hAnsi="宋体"/>
                <w:color w:val="000000"/>
                <w:szCs w:val="21"/>
                <w:highlight w:val="none"/>
              </w:rPr>
              <w:t>1</w:t>
            </w:r>
          </w:p>
        </w:tc>
        <w:tc>
          <w:tcPr>
            <w:tcW w:w="3780" w:type="dxa"/>
            <w:vAlign w:val="center"/>
          </w:tcPr>
          <w:p w14:paraId="1E5AB8A8">
            <w:pPr>
              <w:rPr>
                <w:rFonts w:ascii="宋体" w:hAnsi="宋体"/>
                <w:color w:val="000000"/>
                <w:szCs w:val="21"/>
                <w:highlight w:val="none"/>
              </w:rPr>
            </w:pPr>
          </w:p>
        </w:tc>
        <w:tc>
          <w:tcPr>
            <w:tcW w:w="2550" w:type="dxa"/>
            <w:vAlign w:val="center"/>
          </w:tcPr>
          <w:p w14:paraId="14A97702">
            <w:pPr>
              <w:rPr>
                <w:rFonts w:ascii="宋体" w:hAnsi="宋体"/>
                <w:color w:val="000000"/>
                <w:szCs w:val="21"/>
                <w:highlight w:val="none"/>
              </w:rPr>
            </w:pPr>
          </w:p>
        </w:tc>
        <w:tc>
          <w:tcPr>
            <w:tcW w:w="2076" w:type="dxa"/>
            <w:vAlign w:val="center"/>
          </w:tcPr>
          <w:p w14:paraId="7CA353A1">
            <w:pPr>
              <w:jc w:val="center"/>
              <w:rPr>
                <w:rFonts w:ascii="宋体" w:hAnsi="宋体"/>
                <w:color w:val="000000"/>
                <w:szCs w:val="21"/>
                <w:highlight w:val="none"/>
              </w:rPr>
            </w:pPr>
          </w:p>
        </w:tc>
      </w:tr>
      <w:tr w14:paraId="3FCB6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vAlign w:val="center"/>
          </w:tcPr>
          <w:p w14:paraId="40BC1B02">
            <w:pPr>
              <w:jc w:val="center"/>
              <w:rPr>
                <w:rFonts w:ascii="宋体" w:hAnsi="宋体"/>
                <w:color w:val="000000"/>
                <w:szCs w:val="21"/>
                <w:highlight w:val="none"/>
              </w:rPr>
            </w:pPr>
            <w:r>
              <w:rPr>
                <w:rFonts w:hint="eastAsia" w:ascii="宋体" w:hAnsi="宋体"/>
                <w:color w:val="000000"/>
                <w:szCs w:val="21"/>
                <w:highlight w:val="none"/>
              </w:rPr>
              <w:t>2</w:t>
            </w:r>
          </w:p>
        </w:tc>
        <w:tc>
          <w:tcPr>
            <w:tcW w:w="3780" w:type="dxa"/>
            <w:vAlign w:val="center"/>
          </w:tcPr>
          <w:p w14:paraId="57C5E1CA">
            <w:pPr>
              <w:rPr>
                <w:rFonts w:ascii="宋体" w:hAnsi="宋体"/>
                <w:color w:val="000000"/>
                <w:szCs w:val="21"/>
                <w:highlight w:val="none"/>
              </w:rPr>
            </w:pPr>
          </w:p>
        </w:tc>
        <w:tc>
          <w:tcPr>
            <w:tcW w:w="2550" w:type="dxa"/>
            <w:vAlign w:val="center"/>
          </w:tcPr>
          <w:p w14:paraId="61272A4A">
            <w:pPr>
              <w:rPr>
                <w:rFonts w:ascii="宋体" w:hAnsi="宋体"/>
                <w:color w:val="000000"/>
                <w:szCs w:val="21"/>
                <w:highlight w:val="none"/>
              </w:rPr>
            </w:pPr>
          </w:p>
        </w:tc>
        <w:tc>
          <w:tcPr>
            <w:tcW w:w="2076" w:type="dxa"/>
            <w:vAlign w:val="center"/>
          </w:tcPr>
          <w:p w14:paraId="3380C34A">
            <w:pPr>
              <w:jc w:val="center"/>
              <w:rPr>
                <w:rFonts w:ascii="宋体" w:hAnsi="宋体"/>
                <w:color w:val="000000"/>
                <w:szCs w:val="21"/>
                <w:highlight w:val="none"/>
              </w:rPr>
            </w:pPr>
          </w:p>
        </w:tc>
      </w:tr>
      <w:tr w14:paraId="679FB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1080" w:type="dxa"/>
            <w:vAlign w:val="center"/>
          </w:tcPr>
          <w:p w14:paraId="436001E8">
            <w:pPr>
              <w:jc w:val="center"/>
              <w:rPr>
                <w:rFonts w:ascii="宋体" w:hAnsi="宋体"/>
                <w:color w:val="000000"/>
                <w:szCs w:val="21"/>
                <w:highlight w:val="none"/>
              </w:rPr>
            </w:pPr>
            <w:r>
              <w:rPr>
                <w:rFonts w:ascii="宋体" w:hAnsi="宋体"/>
                <w:color w:val="000000"/>
                <w:szCs w:val="21"/>
                <w:highlight w:val="none"/>
              </w:rPr>
              <w:t>…</w:t>
            </w:r>
          </w:p>
        </w:tc>
        <w:tc>
          <w:tcPr>
            <w:tcW w:w="3780" w:type="dxa"/>
            <w:vAlign w:val="center"/>
          </w:tcPr>
          <w:p w14:paraId="17F81B28">
            <w:pPr>
              <w:rPr>
                <w:rFonts w:ascii="宋体" w:hAnsi="宋体"/>
                <w:color w:val="000000"/>
                <w:szCs w:val="21"/>
                <w:highlight w:val="none"/>
              </w:rPr>
            </w:pPr>
          </w:p>
        </w:tc>
        <w:tc>
          <w:tcPr>
            <w:tcW w:w="2550" w:type="dxa"/>
            <w:vAlign w:val="center"/>
          </w:tcPr>
          <w:p w14:paraId="08F5D24E">
            <w:pPr>
              <w:rPr>
                <w:rFonts w:ascii="宋体" w:hAnsi="宋体"/>
                <w:color w:val="000000"/>
                <w:szCs w:val="21"/>
                <w:highlight w:val="none"/>
              </w:rPr>
            </w:pPr>
          </w:p>
        </w:tc>
        <w:tc>
          <w:tcPr>
            <w:tcW w:w="2076" w:type="dxa"/>
            <w:vAlign w:val="center"/>
          </w:tcPr>
          <w:p w14:paraId="39B2E3CB">
            <w:pPr>
              <w:jc w:val="center"/>
              <w:rPr>
                <w:rFonts w:ascii="宋体" w:hAnsi="宋体"/>
                <w:color w:val="000000"/>
                <w:szCs w:val="21"/>
                <w:highlight w:val="none"/>
              </w:rPr>
            </w:pPr>
          </w:p>
        </w:tc>
      </w:tr>
    </w:tbl>
    <w:p w14:paraId="042F12D5">
      <w:pPr>
        <w:rPr>
          <w:color w:val="FF0000"/>
          <w:highlight w:val="none"/>
        </w:rPr>
      </w:pPr>
      <w:bookmarkStart w:id="1190" w:name="_Toc334795496"/>
    </w:p>
    <w:p w14:paraId="4523F7C3">
      <w:pPr>
        <w:rPr>
          <w:color w:val="000000"/>
          <w:highlight w:val="none"/>
        </w:rPr>
      </w:pPr>
      <w:r>
        <w:rPr>
          <w:rFonts w:hint="eastAsia"/>
          <w:color w:val="000000"/>
          <w:highlight w:val="none"/>
        </w:rPr>
        <w:t>注：上述表格没有列出相应条款的，即视为完全响应招标文件要求。</w:t>
      </w:r>
    </w:p>
    <w:p w14:paraId="2574C69A">
      <w:pPr>
        <w:pStyle w:val="4"/>
        <w:spacing w:line="440" w:lineRule="exact"/>
        <w:rPr>
          <w:color w:val="000000"/>
          <w:highlight w:val="none"/>
        </w:rPr>
      </w:pPr>
    </w:p>
    <w:p w14:paraId="221D9EDA">
      <w:pPr>
        <w:rPr>
          <w:highlight w:val="none"/>
        </w:rPr>
        <w:sectPr>
          <w:footerReference r:id="rId30" w:type="default"/>
          <w:pgSz w:w="11906" w:h="16838"/>
          <w:pgMar w:top="936" w:right="1021" w:bottom="936" w:left="1021" w:header="737" w:footer="737" w:gutter="0"/>
          <w:cols w:space="720" w:num="1"/>
          <w:docGrid w:type="linesAndChars" w:linePitch="312" w:charSpace="0"/>
        </w:sectPr>
      </w:pPr>
    </w:p>
    <w:p w14:paraId="4BC0DB3B">
      <w:pPr>
        <w:pStyle w:val="4"/>
        <w:spacing w:line="440" w:lineRule="exact"/>
        <w:rPr>
          <w:color w:val="000000"/>
          <w:highlight w:val="none"/>
        </w:rPr>
      </w:pPr>
      <w:r>
        <w:rPr>
          <w:rFonts w:hint="eastAsia"/>
          <w:color w:val="000000"/>
          <w:highlight w:val="none"/>
        </w:rPr>
        <w:t>格式17</w:t>
      </w:r>
    </w:p>
    <w:p w14:paraId="748E27C7">
      <w:pPr>
        <w:pStyle w:val="4"/>
        <w:spacing w:line="440" w:lineRule="exact"/>
        <w:jc w:val="center"/>
        <w:rPr>
          <w:rFonts w:ascii="黑体"/>
          <w:color w:val="000000"/>
          <w:highlight w:val="none"/>
        </w:rPr>
      </w:pPr>
      <w:r>
        <w:rPr>
          <w:rFonts w:hint="eastAsia"/>
          <w:color w:val="000000"/>
          <w:highlight w:val="none"/>
        </w:rPr>
        <w:t>整体方案</w:t>
      </w:r>
      <w:r>
        <w:rPr>
          <w:rFonts w:hint="eastAsia"/>
          <w:color w:val="000000"/>
          <w:sz w:val="24"/>
          <w:highlight w:val="none"/>
        </w:rPr>
        <w:t>（格式自定）</w:t>
      </w:r>
      <w:bookmarkEnd w:id="1190"/>
    </w:p>
    <w:p w14:paraId="1D7E76BA">
      <w:pPr>
        <w:ind w:firstLine="420" w:firstLineChars="200"/>
        <w:rPr>
          <w:rFonts w:ascii="黑体"/>
          <w:color w:val="000000"/>
          <w:highlight w:val="none"/>
        </w:rPr>
      </w:pPr>
      <w:bookmarkStart w:id="1191" w:name="_Toc334795497"/>
      <w:r>
        <w:rPr>
          <w:rFonts w:hint="eastAsia" w:ascii="宋体" w:hAnsi="宋体"/>
          <w:color w:val="000000"/>
          <w:szCs w:val="21"/>
          <w:highlight w:val="none"/>
        </w:rPr>
        <w:t>根据招标文件要求，投标方自拟。</w:t>
      </w:r>
    </w:p>
    <w:p w14:paraId="467B0345">
      <w:pPr>
        <w:rPr>
          <w:rFonts w:ascii="黑体"/>
          <w:color w:val="000000"/>
          <w:highlight w:val="none"/>
        </w:rPr>
      </w:pPr>
    </w:p>
    <w:p w14:paraId="372B1B9A">
      <w:pPr>
        <w:rPr>
          <w:rFonts w:ascii="黑体"/>
          <w:color w:val="000000"/>
          <w:highlight w:val="none"/>
        </w:rPr>
      </w:pPr>
    </w:p>
    <w:p w14:paraId="77DEAEDA">
      <w:pPr>
        <w:rPr>
          <w:rFonts w:ascii="黑体"/>
          <w:color w:val="000000"/>
          <w:highlight w:val="none"/>
        </w:rPr>
      </w:pPr>
    </w:p>
    <w:p w14:paraId="19863FC9">
      <w:pPr>
        <w:rPr>
          <w:rFonts w:ascii="黑体"/>
          <w:color w:val="000000"/>
          <w:highlight w:val="none"/>
        </w:rPr>
      </w:pPr>
    </w:p>
    <w:p w14:paraId="13DA4C7D">
      <w:pPr>
        <w:rPr>
          <w:rFonts w:ascii="黑体"/>
          <w:color w:val="000000"/>
          <w:highlight w:val="none"/>
        </w:rPr>
      </w:pPr>
    </w:p>
    <w:p w14:paraId="7CF1C179">
      <w:pPr>
        <w:rPr>
          <w:rFonts w:ascii="黑体"/>
          <w:color w:val="000000"/>
          <w:highlight w:val="none"/>
        </w:rPr>
      </w:pPr>
    </w:p>
    <w:p w14:paraId="47B974A3">
      <w:pPr>
        <w:rPr>
          <w:rFonts w:ascii="黑体"/>
          <w:color w:val="000000"/>
          <w:highlight w:val="none"/>
        </w:rPr>
      </w:pPr>
    </w:p>
    <w:p w14:paraId="72985443">
      <w:pPr>
        <w:rPr>
          <w:rFonts w:ascii="黑体"/>
          <w:color w:val="000000"/>
          <w:highlight w:val="none"/>
        </w:rPr>
      </w:pPr>
    </w:p>
    <w:p w14:paraId="30384DAC">
      <w:pPr>
        <w:rPr>
          <w:rFonts w:ascii="黑体"/>
          <w:color w:val="000000"/>
          <w:highlight w:val="none"/>
        </w:rPr>
      </w:pPr>
    </w:p>
    <w:p w14:paraId="35D585FC">
      <w:pPr>
        <w:rPr>
          <w:rFonts w:ascii="黑体"/>
          <w:color w:val="000000"/>
          <w:highlight w:val="none"/>
        </w:rPr>
      </w:pPr>
    </w:p>
    <w:p w14:paraId="6E7130BF">
      <w:pPr>
        <w:rPr>
          <w:color w:val="000000"/>
          <w:highlight w:val="none"/>
        </w:rPr>
      </w:pPr>
    </w:p>
    <w:p w14:paraId="73B95D24">
      <w:pPr>
        <w:pStyle w:val="4"/>
        <w:rPr>
          <w:rFonts w:ascii="黑体"/>
          <w:color w:val="000000"/>
          <w:highlight w:val="none"/>
        </w:rPr>
        <w:sectPr>
          <w:footerReference r:id="rId31" w:type="default"/>
          <w:pgSz w:w="11906" w:h="16838"/>
          <w:pgMar w:top="936" w:right="1021" w:bottom="936" w:left="1021" w:header="737" w:footer="737" w:gutter="0"/>
          <w:cols w:space="720" w:num="1"/>
          <w:docGrid w:type="linesAndChars" w:linePitch="312" w:charSpace="0"/>
        </w:sectPr>
      </w:pPr>
    </w:p>
    <w:p w14:paraId="62C5D738">
      <w:pPr>
        <w:pStyle w:val="4"/>
        <w:rPr>
          <w:b w:val="0"/>
          <w:color w:val="000000"/>
          <w:highlight w:val="none"/>
        </w:rPr>
      </w:pPr>
      <w:r>
        <w:rPr>
          <w:rFonts w:hint="eastAsia" w:ascii="黑体"/>
          <w:color w:val="000000"/>
          <w:highlight w:val="none"/>
        </w:rPr>
        <w:t xml:space="preserve">格式18 </w:t>
      </w:r>
      <w:r>
        <w:rPr>
          <w:rFonts w:hint="eastAsia"/>
          <w:color w:val="000000"/>
          <w:highlight w:val="none"/>
        </w:rPr>
        <w:t xml:space="preserve">           与采购人需求差异表</w:t>
      </w:r>
      <w:bookmarkEnd w:id="1191"/>
      <w:r>
        <w:rPr>
          <w:rFonts w:hint="eastAsia"/>
          <w:color w:val="000000"/>
          <w:highlight w:val="none"/>
        </w:rPr>
        <w:t xml:space="preserve">  </w:t>
      </w:r>
    </w:p>
    <w:p w14:paraId="09B3C99F">
      <w:pPr>
        <w:ind w:left="618" w:hanging="618"/>
        <w:rPr>
          <w:rFonts w:ascii="宋体" w:hAnsi="宋体"/>
          <w:color w:val="000000"/>
          <w:szCs w:val="21"/>
          <w:highlight w:val="none"/>
        </w:rPr>
      </w:pPr>
      <w:r>
        <w:rPr>
          <w:rFonts w:hint="eastAsia" w:ascii="宋体" w:hAnsi="宋体"/>
          <w:b/>
          <w:color w:val="000000"/>
          <w:sz w:val="24"/>
          <w:highlight w:val="none"/>
        </w:rPr>
        <w:t xml:space="preserve"> </w:t>
      </w:r>
      <w:r>
        <w:rPr>
          <w:rFonts w:hint="eastAsia" w:ascii="宋体" w:hAnsi="宋体"/>
          <w:b/>
          <w:color w:val="000000"/>
          <w:szCs w:val="21"/>
          <w:highlight w:val="none"/>
        </w:rPr>
        <w:t>[说明]</w:t>
      </w:r>
      <w:r>
        <w:rPr>
          <w:rFonts w:hint="eastAsia" w:ascii="宋体" w:hAnsi="宋体"/>
          <w:color w:val="000000"/>
          <w:szCs w:val="21"/>
          <w:highlight w:val="none"/>
        </w:rPr>
        <w:t>投标人应根据其提供的设计和服务，逐条对照招标文件“采购人需求”的内容要求填写，有差异的，不论是技术或商务上，均须在此表中列明两者的差异内容，以便查对和评审。投标人没有列出的内容或提交空表的，评标委员会可视为完全响应招标文件要求。</w:t>
      </w:r>
    </w:p>
    <w:p w14:paraId="5151ACE7">
      <w:pPr>
        <w:spacing w:line="360" w:lineRule="auto"/>
        <w:rPr>
          <w:rFonts w:ascii="Arial Unicode MS" w:hAnsi="Arial Unicode MS" w:eastAsia="Arial Unicode MS" w:cs="Arial Unicode MS"/>
          <w:bCs/>
          <w:color w:val="000000"/>
          <w:szCs w:val="21"/>
          <w:highlight w:val="none"/>
        </w:rPr>
      </w:pPr>
      <w:r>
        <w:rPr>
          <w:rFonts w:hint="eastAsia" w:ascii="宋体" w:hAnsi="宋体" w:cs="Tahoma"/>
          <w:color w:val="000000"/>
          <w:szCs w:val="21"/>
          <w:highlight w:val="none"/>
        </w:rPr>
        <w:t>项目名称</w:t>
      </w:r>
      <w:r>
        <w:rPr>
          <w:rFonts w:hint="eastAsia" w:ascii="宋体" w:hAnsi="宋体" w:cs="Tahoma"/>
          <w:color w:val="000000"/>
          <w:kern w:val="28"/>
          <w:szCs w:val="21"/>
          <w:highlight w:val="none"/>
        </w:rPr>
        <w:t xml:space="preserve">：                                    </w:t>
      </w:r>
      <w:r>
        <w:rPr>
          <w:rFonts w:ascii="宋体" w:hAnsi="宋体" w:cs="Tahoma"/>
          <w:color w:val="000000"/>
          <w:szCs w:val="21"/>
          <w:highlight w:val="none"/>
        </w:rPr>
        <w:t>项目编号：</w:t>
      </w:r>
      <w:r>
        <w:rPr>
          <w:rFonts w:hint="eastAsia" w:ascii="宋体" w:hAnsi="宋体"/>
          <w:color w:val="000000"/>
          <w:szCs w:val="21"/>
          <w:highlight w:val="none"/>
        </w:rPr>
        <w:t xml:space="preserve"> </w:t>
      </w:r>
      <w:r>
        <w:rPr>
          <w:rFonts w:hint="eastAsia" w:ascii="Arial Unicode MS" w:hAnsi="Arial Unicode MS" w:eastAsia="Arial Unicode MS" w:cs="Arial Unicode MS"/>
          <w:bCs/>
          <w:color w:val="000000"/>
          <w:szCs w:val="21"/>
          <w:highlight w:val="none"/>
        </w:rPr>
        <w:t xml:space="preserve">                                  </w:t>
      </w:r>
      <w:r>
        <w:rPr>
          <w:rFonts w:hint="eastAsia" w:ascii="宋体" w:hAnsi="宋体"/>
          <w:bCs/>
          <w:color w:val="000000"/>
          <w:szCs w:val="21"/>
          <w:highlight w:val="none"/>
        </w:rPr>
        <w:t xml:space="preserve">  </w:t>
      </w:r>
    </w:p>
    <w:tbl>
      <w:tblPr>
        <w:tblStyle w:val="22"/>
        <w:tblW w:w="0" w:type="auto"/>
        <w:tblInd w:w="0" w:type="dxa"/>
        <w:tblLayout w:type="fixed"/>
        <w:tblCellMar>
          <w:top w:w="0" w:type="dxa"/>
          <w:left w:w="30" w:type="dxa"/>
          <w:bottom w:w="0" w:type="dxa"/>
          <w:right w:w="30" w:type="dxa"/>
        </w:tblCellMar>
      </w:tblPr>
      <w:tblGrid>
        <w:gridCol w:w="1400"/>
        <w:gridCol w:w="784"/>
        <w:gridCol w:w="3758"/>
        <w:gridCol w:w="1736"/>
        <w:gridCol w:w="1736"/>
      </w:tblGrid>
      <w:tr w14:paraId="5D52FCEA">
        <w:tblPrEx>
          <w:tblCellMar>
            <w:top w:w="0" w:type="dxa"/>
            <w:left w:w="30" w:type="dxa"/>
            <w:bottom w:w="0" w:type="dxa"/>
            <w:right w:w="30" w:type="dxa"/>
          </w:tblCellMar>
        </w:tblPrEx>
        <w:trPr>
          <w:cantSplit/>
          <w:trHeight w:val="384" w:hRule="atLeast"/>
        </w:trPr>
        <w:tc>
          <w:tcPr>
            <w:tcW w:w="1400" w:type="dxa"/>
            <w:vMerge w:val="restart"/>
            <w:tcBorders>
              <w:top w:val="single" w:color="auto" w:sz="6" w:space="0"/>
              <w:left w:val="single" w:color="auto" w:sz="6" w:space="0"/>
              <w:right w:val="single" w:color="auto" w:sz="6" w:space="0"/>
            </w:tcBorders>
            <w:vAlign w:val="center"/>
          </w:tcPr>
          <w:p w14:paraId="69E42E79">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序号</w:t>
            </w:r>
          </w:p>
        </w:tc>
        <w:tc>
          <w:tcPr>
            <w:tcW w:w="4542" w:type="dxa"/>
            <w:gridSpan w:val="2"/>
            <w:tcBorders>
              <w:top w:val="single" w:color="auto" w:sz="6" w:space="0"/>
              <w:left w:val="single" w:color="auto" w:sz="6" w:space="0"/>
              <w:bottom w:val="single" w:color="auto" w:sz="6" w:space="0"/>
            </w:tcBorders>
            <w:vAlign w:val="center"/>
          </w:tcPr>
          <w:p w14:paraId="12E30946">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招标文件要求</w:t>
            </w:r>
          </w:p>
        </w:tc>
        <w:tc>
          <w:tcPr>
            <w:tcW w:w="3472" w:type="dxa"/>
            <w:gridSpan w:val="2"/>
            <w:tcBorders>
              <w:top w:val="single" w:color="auto" w:sz="6" w:space="0"/>
              <w:left w:val="single" w:color="auto" w:sz="6" w:space="0"/>
              <w:bottom w:val="single" w:color="auto" w:sz="6" w:space="0"/>
              <w:right w:val="single" w:color="auto" w:sz="6" w:space="0"/>
            </w:tcBorders>
            <w:vAlign w:val="center"/>
          </w:tcPr>
          <w:p w14:paraId="3CB7ABC8">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投标文件内容</w:t>
            </w:r>
          </w:p>
        </w:tc>
      </w:tr>
      <w:tr w14:paraId="1C1A7F77">
        <w:tblPrEx>
          <w:tblCellMar>
            <w:top w:w="0" w:type="dxa"/>
            <w:left w:w="30" w:type="dxa"/>
            <w:bottom w:w="0" w:type="dxa"/>
            <w:right w:w="30" w:type="dxa"/>
          </w:tblCellMar>
        </w:tblPrEx>
        <w:trPr>
          <w:cantSplit/>
          <w:trHeight w:val="551" w:hRule="atLeast"/>
        </w:trPr>
        <w:tc>
          <w:tcPr>
            <w:tcW w:w="1400" w:type="dxa"/>
            <w:vMerge w:val="continue"/>
            <w:tcBorders>
              <w:left w:val="single" w:color="auto" w:sz="6" w:space="0"/>
              <w:bottom w:val="single" w:color="auto" w:sz="6" w:space="0"/>
              <w:right w:val="single" w:color="auto" w:sz="6" w:space="0"/>
            </w:tcBorders>
            <w:vAlign w:val="center"/>
          </w:tcPr>
          <w:p w14:paraId="5B356FA3">
            <w:pPr>
              <w:autoSpaceDE w:val="0"/>
              <w:autoSpaceDN w:val="0"/>
              <w:adjustRightInd w:val="0"/>
              <w:rPr>
                <w:rFonts w:ascii="宋体" w:hAnsi="宋体"/>
                <w:color w:val="000000"/>
                <w:szCs w:val="21"/>
                <w:highlight w:val="none"/>
              </w:rPr>
            </w:pPr>
          </w:p>
        </w:tc>
        <w:tc>
          <w:tcPr>
            <w:tcW w:w="784" w:type="dxa"/>
            <w:tcBorders>
              <w:top w:val="single" w:color="auto" w:sz="6" w:space="0"/>
              <w:left w:val="single" w:color="auto" w:sz="6" w:space="0"/>
              <w:bottom w:val="single" w:color="auto" w:sz="6" w:space="0"/>
              <w:right w:val="single" w:color="auto" w:sz="6" w:space="0"/>
            </w:tcBorders>
            <w:vAlign w:val="center"/>
          </w:tcPr>
          <w:p w14:paraId="6C8EAAC7">
            <w:pPr>
              <w:autoSpaceDE w:val="0"/>
              <w:autoSpaceDN w:val="0"/>
              <w:adjustRightInd w:val="0"/>
              <w:rPr>
                <w:rFonts w:ascii="宋体" w:hAnsi="宋体"/>
                <w:color w:val="000000"/>
                <w:szCs w:val="21"/>
                <w:highlight w:val="none"/>
              </w:rPr>
            </w:pPr>
            <w:r>
              <w:rPr>
                <w:rFonts w:hint="eastAsia" w:ascii="宋体" w:hAnsi="宋体"/>
                <w:color w:val="000000"/>
                <w:szCs w:val="21"/>
                <w:highlight w:val="none"/>
              </w:rPr>
              <w:t>原条目</w:t>
            </w:r>
          </w:p>
        </w:tc>
        <w:tc>
          <w:tcPr>
            <w:tcW w:w="3758" w:type="dxa"/>
            <w:tcBorders>
              <w:top w:val="single" w:color="auto" w:sz="6" w:space="0"/>
              <w:left w:val="single" w:color="auto" w:sz="6" w:space="0"/>
              <w:bottom w:val="single" w:color="auto" w:sz="6" w:space="0"/>
              <w:right w:val="single" w:color="auto" w:sz="6" w:space="0"/>
            </w:tcBorders>
            <w:vAlign w:val="center"/>
          </w:tcPr>
          <w:p w14:paraId="5B9E5975">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简要内容</w:t>
            </w:r>
          </w:p>
        </w:tc>
        <w:tc>
          <w:tcPr>
            <w:tcW w:w="1736" w:type="dxa"/>
            <w:tcBorders>
              <w:top w:val="single" w:color="auto" w:sz="6" w:space="0"/>
              <w:left w:val="single" w:color="auto" w:sz="6" w:space="0"/>
              <w:bottom w:val="single" w:color="auto" w:sz="6" w:space="0"/>
              <w:right w:val="single" w:color="auto" w:sz="6" w:space="0"/>
            </w:tcBorders>
            <w:vAlign w:val="center"/>
          </w:tcPr>
          <w:p w14:paraId="3E20581E">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是否响应</w:t>
            </w:r>
          </w:p>
        </w:tc>
        <w:tc>
          <w:tcPr>
            <w:tcW w:w="1736" w:type="dxa"/>
            <w:tcBorders>
              <w:top w:val="single" w:color="auto" w:sz="6" w:space="0"/>
              <w:left w:val="single" w:color="auto" w:sz="6" w:space="0"/>
              <w:bottom w:val="single" w:color="auto" w:sz="6" w:space="0"/>
              <w:right w:val="single" w:color="auto" w:sz="6" w:space="0"/>
            </w:tcBorders>
            <w:vAlign w:val="center"/>
          </w:tcPr>
          <w:p w14:paraId="7447A87D">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偏离说明</w:t>
            </w:r>
          </w:p>
        </w:tc>
      </w:tr>
      <w:tr w14:paraId="3EDC8DA1">
        <w:tblPrEx>
          <w:tblCellMar>
            <w:top w:w="0" w:type="dxa"/>
            <w:left w:w="30" w:type="dxa"/>
            <w:bottom w:w="0" w:type="dxa"/>
            <w:right w:w="30" w:type="dxa"/>
          </w:tblCellMar>
        </w:tblPrEx>
        <w:trPr>
          <w:cantSplit/>
          <w:trHeight w:val="393" w:hRule="exact"/>
        </w:trPr>
        <w:tc>
          <w:tcPr>
            <w:tcW w:w="1400" w:type="dxa"/>
            <w:tcBorders>
              <w:top w:val="single" w:color="auto" w:sz="6" w:space="0"/>
              <w:left w:val="single" w:color="auto" w:sz="6" w:space="0"/>
              <w:bottom w:val="single" w:color="auto" w:sz="6" w:space="0"/>
              <w:right w:val="single" w:color="auto" w:sz="6" w:space="0"/>
            </w:tcBorders>
            <w:vAlign w:val="center"/>
          </w:tcPr>
          <w:p w14:paraId="31FA6879">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1</w:t>
            </w:r>
          </w:p>
        </w:tc>
        <w:tc>
          <w:tcPr>
            <w:tcW w:w="784" w:type="dxa"/>
            <w:tcBorders>
              <w:top w:val="single" w:color="auto" w:sz="6" w:space="0"/>
              <w:left w:val="single" w:color="auto" w:sz="6" w:space="0"/>
              <w:bottom w:val="single" w:color="auto" w:sz="6" w:space="0"/>
              <w:right w:val="single" w:color="auto" w:sz="6" w:space="0"/>
            </w:tcBorders>
            <w:vAlign w:val="center"/>
          </w:tcPr>
          <w:p w14:paraId="31CD0A31">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一</w:t>
            </w:r>
          </w:p>
        </w:tc>
        <w:tc>
          <w:tcPr>
            <w:tcW w:w="3758" w:type="dxa"/>
            <w:tcBorders>
              <w:top w:val="single" w:color="auto" w:sz="6" w:space="0"/>
              <w:left w:val="single" w:color="auto" w:sz="6" w:space="0"/>
              <w:bottom w:val="single" w:color="auto" w:sz="6" w:space="0"/>
              <w:right w:val="single" w:color="auto" w:sz="6" w:space="0"/>
            </w:tcBorders>
            <w:vAlign w:val="center"/>
          </w:tcPr>
          <w:p w14:paraId="7A48F86C">
            <w:pPr>
              <w:autoSpaceDE w:val="0"/>
              <w:autoSpaceDN w:val="0"/>
              <w:adjustRightInd w:val="0"/>
              <w:rPr>
                <w:rFonts w:ascii="宋体" w:hAnsi="宋体"/>
                <w:color w:val="000000"/>
                <w:szCs w:val="21"/>
                <w:highlight w:val="none"/>
              </w:rPr>
            </w:pPr>
          </w:p>
        </w:tc>
        <w:tc>
          <w:tcPr>
            <w:tcW w:w="1736" w:type="dxa"/>
            <w:tcBorders>
              <w:top w:val="single" w:color="auto" w:sz="6" w:space="0"/>
              <w:left w:val="single" w:color="auto" w:sz="6" w:space="0"/>
              <w:bottom w:val="single" w:color="auto" w:sz="6" w:space="0"/>
              <w:right w:val="single" w:color="auto" w:sz="6" w:space="0"/>
            </w:tcBorders>
            <w:vAlign w:val="center"/>
          </w:tcPr>
          <w:p w14:paraId="52510291">
            <w:pPr>
              <w:autoSpaceDE w:val="0"/>
              <w:autoSpaceDN w:val="0"/>
              <w:adjustRightInd w:val="0"/>
              <w:rPr>
                <w:rFonts w:ascii="宋体" w:hAnsi="宋体"/>
                <w:color w:val="000000"/>
                <w:szCs w:val="21"/>
                <w:highlight w:val="none"/>
              </w:rPr>
            </w:pPr>
          </w:p>
        </w:tc>
        <w:tc>
          <w:tcPr>
            <w:tcW w:w="1736" w:type="dxa"/>
            <w:tcBorders>
              <w:top w:val="single" w:color="auto" w:sz="6" w:space="0"/>
              <w:left w:val="single" w:color="auto" w:sz="6" w:space="0"/>
              <w:bottom w:val="single" w:color="auto" w:sz="6" w:space="0"/>
              <w:right w:val="single" w:color="auto" w:sz="6" w:space="0"/>
            </w:tcBorders>
            <w:vAlign w:val="center"/>
          </w:tcPr>
          <w:p w14:paraId="55B29682">
            <w:pPr>
              <w:autoSpaceDE w:val="0"/>
              <w:autoSpaceDN w:val="0"/>
              <w:adjustRightInd w:val="0"/>
              <w:rPr>
                <w:rFonts w:ascii="宋体" w:hAnsi="宋体"/>
                <w:color w:val="000000"/>
                <w:szCs w:val="21"/>
                <w:highlight w:val="none"/>
              </w:rPr>
            </w:pPr>
          </w:p>
        </w:tc>
      </w:tr>
      <w:tr w14:paraId="509914B0">
        <w:tblPrEx>
          <w:tblCellMar>
            <w:top w:w="0" w:type="dxa"/>
            <w:left w:w="30" w:type="dxa"/>
            <w:bottom w:w="0" w:type="dxa"/>
            <w:right w:w="30" w:type="dxa"/>
          </w:tblCellMar>
        </w:tblPrEx>
        <w:trPr>
          <w:cantSplit/>
          <w:trHeight w:val="313" w:hRule="exact"/>
        </w:trPr>
        <w:tc>
          <w:tcPr>
            <w:tcW w:w="1400" w:type="dxa"/>
            <w:tcBorders>
              <w:top w:val="single" w:color="auto" w:sz="6" w:space="0"/>
              <w:left w:val="single" w:color="auto" w:sz="6" w:space="0"/>
              <w:bottom w:val="single" w:color="auto" w:sz="6" w:space="0"/>
              <w:right w:val="single" w:color="auto" w:sz="6" w:space="0"/>
            </w:tcBorders>
            <w:vAlign w:val="center"/>
          </w:tcPr>
          <w:p w14:paraId="23CD3490">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2</w:t>
            </w:r>
          </w:p>
        </w:tc>
        <w:tc>
          <w:tcPr>
            <w:tcW w:w="784" w:type="dxa"/>
            <w:tcBorders>
              <w:top w:val="single" w:color="auto" w:sz="6" w:space="0"/>
              <w:left w:val="single" w:color="auto" w:sz="6" w:space="0"/>
              <w:bottom w:val="single" w:color="auto" w:sz="6" w:space="0"/>
              <w:right w:val="single" w:color="auto" w:sz="6" w:space="0"/>
            </w:tcBorders>
            <w:vAlign w:val="center"/>
          </w:tcPr>
          <w:p w14:paraId="7FBBA30C">
            <w:pPr>
              <w:autoSpaceDE w:val="0"/>
              <w:autoSpaceDN w:val="0"/>
              <w:adjustRightInd w:val="0"/>
              <w:jc w:val="center"/>
              <w:rPr>
                <w:rFonts w:ascii="宋体" w:hAnsi="宋体"/>
                <w:color w:val="000000"/>
                <w:szCs w:val="21"/>
                <w:highlight w:val="none"/>
              </w:rPr>
            </w:pPr>
            <w:r>
              <w:rPr>
                <w:rFonts w:hint="eastAsia" w:ascii="宋体" w:hAnsi="宋体"/>
                <w:color w:val="000000"/>
                <w:szCs w:val="21"/>
                <w:highlight w:val="none"/>
              </w:rPr>
              <w:t>二</w:t>
            </w:r>
          </w:p>
        </w:tc>
        <w:tc>
          <w:tcPr>
            <w:tcW w:w="3758" w:type="dxa"/>
            <w:tcBorders>
              <w:top w:val="single" w:color="auto" w:sz="6" w:space="0"/>
              <w:left w:val="single" w:color="auto" w:sz="6" w:space="0"/>
              <w:bottom w:val="single" w:color="auto" w:sz="6" w:space="0"/>
              <w:right w:val="single" w:color="auto" w:sz="6" w:space="0"/>
            </w:tcBorders>
            <w:vAlign w:val="center"/>
          </w:tcPr>
          <w:p w14:paraId="133197AE">
            <w:pPr>
              <w:autoSpaceDE w:val="0"/>
              <w:autoSpaceDN w:val="0"/>
              <w:adjustRightInd w:val="0"/>
              <w:rPr>
                <w:rFonts w:ascii="宋体" w:hAnsi="宋体"/>
                <w:color w:val="000000"/>
                <w:szCs w:val="21"/>
                <w:highlight w:val="none"/>
              </w:rPr>
            </w:pPr>
          </w:p>
        </w:tc>
        <w:tc>
          <w:tcPr>
            <w:tcW w:w="1736" w:type="dxa"/>
            <w:tcBorders>
              <w:top w:val="single" w:color="auto" w:sz="6" w:space="0"/>
              <w:left w:val="single" w:color="auto" w:sz="6" w:space="0"/>
              <w:bottom w:val="single" w:color="auto" w:sz="6" w:space="0"/>
              <w:right w:val="single" w:color="auto" w:sz="6" w:space="0"/>
            </w:tcBorders>
            <w:vAlign w:val="center"/>
          </w:tcPr>
          <w:p w14:paraId="35E9115C">
            <w:pPr>
              <w:autoSpaceDE w:val="0"/>
              <w:autoSpaceDN w:val="0"/>
              <w:adjustRightInd w:val="0"/>
              <w:rPr>
                <w:rFonts w:ascii="宋体" w:hAnsi="宋体"/>
                <w:color w:val="000000"/>
                <w:szCs w:val="21"/>
                <w:highlight w:val="none"/>
              </w:rPr>
            </w:pPr>
          </w:p>
        </w:tc>
        <w:tc>
          <w:tcPr>
            <w:tcW w:w="1736" w:type="dxa"/>
            <w:tcBorders>
              <w:top w:val="single" w:color="auto" w:sz="6" w:space="0"/>
              <w:left w:val="single" w:color="auto" w:sz="6" w:space="0"/>
              <w:bottom w:val="single" w:color="auto" w:sz="6" w:space="0"/>
              <w:right w:val="single" w:color="auto" w:sz="6" w:space="0"/>
            </w:tcBorders>
            <w:vAlign w:val="center"/>
          </w:tcPr>
          <w:p w14:paraId="235E39D1">
            <w:pPr>
              <w:autoSpaceDE w:val="0"/>
              <w:autoSpaceDN w:val="0"/>
              <w:adjustRightInd w:val="0"/>
              <w:rPr>
                <w:rFonts w:ascii="宋体" w:hAnsi="宋体"/>
                <w:color w:val="000000"/>
                <w:szCs w:val="21"/>
                <w:highlight w:val="none"/>
              </w:rPr>
            </w:pPr>
          </w:p>
        </w:tc>
      </w:tr>
      <w:tr w14:paraId="535AF9EB">
        <w:tblPrEx>
          <w:tblCellMar>
            <w:top w:w="0" w:type="dxa"/>
            <w:left w:w="30" w:type="dxa"/>
            <w:bottom w:w="0" w:type="dxa"/>
            <w:right w:w="30" w:type="dxa"/>
          </w:tblCellMar>
        </w:tblPrEx>
        <w:trPr>
          <w:cantSplit/>
          <w:trHeight w:val="303" w:hRule="exact"/>
        </w:trPr>
        <w:tc>
          <w:tcPr>
            <w:tcW w:w="1400" w:type="dxa"/>
            <w:tcBorders>
              <w:top w:val="single" w:color="auto" w:sz="6" w:space="0"/>
              <w:left w:val="single" w:color="auto" w:sz="6" w:space="0"/>
              <w:bottom w:val="single" w:color="auto" w:sz="6" w:space="0"/>
              <w:right w:val="single" w:color="auto" w:sz="6" w:space="0"/>
            </w:tcBorders>
            <w:vAlign w:val="center"/>
          </w:tcPr>
          <w:p w14:paraId="5AE39835">
            <w:pPr>
              <w:autoSpaceDE w:val="0"/>
              <w:autoSpaceDN w:val="0"/>
              <w:adjustRightInd w:val="0"/>
              <w:jc w:val="center"/>
              <w:rPr>
                <w:rFonts w:ascii="宋体" w:hAnsi="宋体"/>
                <w:color w:val="000000"/>
                <w:szCs w:val="21"/>
                <w:highlight w:val="none"/>
              </w:rPr>
            </w:pPr>
            <w:r>
              <w:rPr>
                <w:rFonts w:ascii="宋体" w:hAnsi="宋体"/>
                <w:color w:val="000000"/>
                <w:szCs w:val="21"/>
                <w:highlight w:val="none"/>
              </w:rPr>
              <w:t>…</w:t>
            </w:r>
          </w:p>
        </w:tc>
        <w:tc>
          <w:tcPr>
            <w:tcW w:w="784" w:type="dxa"/>
            <w:tcBorders>
              <w:top w:val="single" w:color="auto" w:sz="6" w:space="0"/>
              <w:left w:val="single" w:color="auto" w:sz="6" w:space="0"/>
              <w:bottom w:val="single" w:color="auto" w:sz="6" w:space="0"/>
              <w:right w:val="single" w:color="auto" w:sz="6" w:space="0"/>
            </w:tcBorders>
            <w:vAlign w:val="center"/>
          </w:tcPr>
          <w:p w14:paraId="7378648B">
            <w:pPr>
              <w:autoSpaceDE w:val="0"/>
              <w:autoSpaceDN w:val="0"/>
              <w:adjustRightInd w:val="0"/>
              <w:jc w:val="center"/>
              <w:rPr>
                <w:rFonts w:ascii="宋体" w:hAnsi="宋体"/>
                <w:color w:val="000000"/>
                <w:szCs w:val="21"/>
                <w:highlight w:val="none"/>
              </w:rPr>
            </w:pPr>
            <w:r>
              <w:rPr>
                <w:rFonts w:ascii="宋体" w:hAnsi="宋体"/>
                <w:color w:val="000000"/>
                <w:szCs w:val="21"/>
                <w:highlight w:val="none"/>
              </w:rPr>
              <w:t>…</w:t>
            </w:r>
          </w:p>
        </w:tc>
        <w:tc>
          <w:tcPr>
            <w:tcW w:w="3758" w:type="dxa"/>
            <w:tcBorders>
              <w:top w:val="single" w:color="auto" w:sz="6" w:space="0"/>
              <w:left w:val="single" w:color="auto" w:sz="6" w:space="0"/>
              <w:bottom w:val="single" w:color="auto" w:sz="6" w:space="0"/>
              <w:right w:val="single" w:color="auto" w:sz="6" w:space="0"/>
            </w:tcBorders>
            <w:vAlign w:val="center"/>
          </w:tcPr>
          <w:p w14:paraId="05008005">
            <w:pPr>
              <w:autoSpaceDE w:val="0"/>
              <w:autoSpaceDN w:val="0"/>
              <w:adjustRightInd w:val="0"/>
              <w:rPr>
                <w:rFonts w:ascii="宋体" w:hAnsi="宋体"/>
                <w:color w:val="000000"/>
                <w:szCs w:val="21"/>
                <w:highlight w:val="none"/>
              </w:rPr>
            </w:pPr>
          </w:p>
        </w:tc>
        <w:tc>
          <w:tcPr>
            <w:tcW w:w="1736" w:type="dxa"/>
            <w:tcBorders>
              <w:top w:val="single" w:color="auto" w:sz="6" w:space="0"/>
              <w:left w:val="single" w:color="auto" w:sz="6" w:space="0"/>
              <w:bottom w:val="single" w:color="auto" w:sz="6" w:space="0"/>
              <w:right w:val="single" w:color="auto" w:sz="6" w:space="0"/>
            </w:tcBorders>
            <w:vAlign w:val="center"/>
          </w:tcPr>
          <w:p w14:paraId="3E5190CA">
            <w:pPr>
              <w:autoSpaceDE w:val="0"/>
              <w:autoSpaceDN w:val="0"/>
              <w:adjustRightInd w:val="0"/>
              <w:rPr>
                <w:rFonts w:ascii="宋体" w:hAnsi="宋体"/>
                <w:color w:val="000000"/>
                <w:szCs w:val="21"/>
                <w:highlight w:val="none"/>
              </w:rPr>
            </w:pPr>
          </w:p>
        </w:tc>
        <w:tc>
          <w:tcPr>
            <w:tcW w:w="1736" w:type="dxa"/>
            <w:tcBorders>
              <w:top w:val="single" w:color="auto" w:sz="6" w:space="0"/>
              <w:left w:val="single" w:color="auto" w:sz="6" w:space="0"/>
              <w:bottom w:val="single" w:color="auto" w:sz="6" w:space="0"/>
              <w:right w:val="single" w:color="auto" w:sz="6" w:space="0"/>
            </w:tcBorders>
            <w:vAlign w:val="center"/>
          </w:tcPr>
          <w:p w14:paraId="022B5D7B">
            <w:pPr>
              <w:autoSpaceDE w:val="0"/>
              <w:autoSpaceDN w:val="0"/>
              <w:adjustRightInd w:val="0"/>
              <w:rPr>
                <w:rFonts w:ascii="宋体" w:hAnsi="宋体"/>
                <w:color w:val="000000"/>
                <w:szCs w:val="21"/>
                <w:highlight w:val="none"/>
              </w:rPr>
            </w:pPr>
          </w:p>
        </w:tc>
      </w:tr>
    </w:tbl>
    <w:p w14:paraId="17B33EA8">
      <w:pPr>
        <w:spacing w:line="400" w:lineRule="exact"/>
        <w:rPr>
          <w:rFonts w:ascii="宋体" w:hAnsi="宋体"/>
          <w:bCs/>
          <w:color w:val="000000"/>
          <w:szCs w:val="21"/>
          <w:highlight w:val="none"/>
        </w:rPr>
      </w:pPr>
    </w:p>
    <w:p w14:paraId="44D51DE8">
      <w:pPr>
        <w:spacing w:line="400" w:lineRule="exact"/>
        <w:rPr>
          <w:rFonts w:ascii="宋体" w:hAnsi="宋体"/>
          <w:bCs/>
          <w:color w:val="000000"/>
          <w:szCs w:val="21"/>
          <w:highlight w:val="none"/>
        </w:rPr>
      </w:pPr>
    </w:p>
    <w:p w14:paraId="3908C28E">
      <w:pPr>
        <w:spacing w:line="400" w:lineRule="exact"/>
        <w:rPr>
          <w:rFonts w:ascii="宋体" w:hAnsi="宋体"/>
          <w:bCs/>
          <w:color w:val="000000"/>
          <w:szCs w:val="21"/>
          <w:highlight w:val="none"/>
        </w:rPr>
      </w:pPr>
      <w:r>
        <w:rPr>
          <w:rFonts w:hint="eastAsia" w:ascii="宋体" w:hAnsi="宋体"/>
          <w:bCs/>
          <w:color w:val="000000"/>
          <w:szCs w:val="21"/>
          <w:highlight w:val="none"/>
        </w:rPr>
        <w:t>投标人全称（加盖公章）:</w:t>
      </w:r>
    </w:p>
    <w:p w14:paraId="68610A72">
      <w:pPr>
        <w:pStyle w:val="13"/>
        <w:ind w:left="99" w:leftChars="47"/>
        <w:rPr>
          <w:rFonts w:ascii="宋体" w:hAnsi="宋体"/>
          <w:color w:val="000000"/>
          <w:sz w:val="21"/>
          <w:szCs w:val="21"/>
          <w:highlight w:val="none"/>
        </w:rPr>
      </w:pPr>
      <w:r>
        <w:rPr>
          <w:rFonts w:hint="eastAsia" w:ascii="宋体" w:hAnsi="宋体"/>
          <w:bCs/>
          <w:color w:val="000000"/>
          <w:sz w:val="21"/>
          <w:szCs w:val="21"/>
          <w:highlight w:val="none"/>
        </w:rPr>
        <w:t>法定代表人或其投标人授权代表(签字)：               日    期：     年   月   日</w:t>
      </w:r>
    </w:p>
    <w:p w14:paraId="195FBB3C">
      <w:pPr>
        <w:rPr>
          <w:highlight w:val="none"/>
        </w:rPr>
      </w:pPr>
    </w:p>
    <w:p w14:paraId="76B301B2">
      <w:pPr>
        <w:rPr>
          <w:highlight w:val="none"/>
        </w:rPr>
      </w:pPr>
    </w:p>
    <w:p w14:paraId="675552D7">
      <w:pPr>
        <w:jc w:val="right"/>
        <w:rPr>
          <w:rFonts w:ascii="宋体" w:hAnsi="宋体"/>
          <w:color w:val="000000"/>
          <w:sz w:val="15"/>
          <w:szCs w:val="15"/>
          <w:highlight w:val="none"/>
        </w:rPr>
      </w:pPr>
    </w:p>
    <w:sectPr>
      <w:pgSz w:w="11906" w:h="16838"/>
      <w:pgMar w:top="1402" w:right="1418" w:bottom="1440" w:left="1418" w:header="851" w:footer="851"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B1DF5">
    <w:pPr>
      <w:pStyle w:val="15"/>
      <w:jc w:val="center"/>
    </w:pPr>
    <w:r>
      <w:rPr>
        <w:rFonts w:hint="eastAsia"/>
      </w:rPr>
      <w:t xml:space="preserve">                                       广东群升招标代理有限公司汕头分公司编制</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6BA47">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9AB3A">
    <w:pPr>
      <w:pStyle w:val="15"/>
      <w:jc w:val="center"/>
    </w:pPr>
    <w:r>
      <w:fldChar w:fldCharType="begin"/>
    </w:r>
    <w:r>
      <w:instrText xml:space="preserve"> PAGE  \* MERGEFORMAT </w:instrText>
    </w:r>
    <w:r>
      <w:fldChar w:fldCharType="separate"/>
    </w:r>
    <w:r>
      <w:t>3</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06102">
    <w:pPr>
      <w:pStyle w:val="15"/>
      <w:jc w:val="center"/>
    </w:pPr>
    <w:r>
      <w:fldChar w:fldCharType="begin"/>
    </w:r>
    <w:r>
      <w:instrText xml:space="preserve"> PAGE  \* MERGEFORMAT </w:instrText>
    </w:r>
    <w:r>
      <w:fldChar w:fldCharType="separate"/>
    </w:r>
    <w: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BF3B2">
    <w:pPr>
      <w:pStyle w:val="15"/>
    </w:pPr>
    <w: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533A24C9">
                <w:pPr>
                  <w:pStyle w:val="15"/>
                  <w:jc w:val="center"/>
                </w:pPr>
                <w:r>
                  <w:fldChar w:fldCharType="begin"/>
                </w:r>
                <w:r>
                  <w:rPr>
                    <w:rStyle w:val="25"/>
                  </w:rPr>
                  <w:instrText xml:space="preserve"> PAGE </w:instrText>
                </w:r>
                <w:r>
                  <w:fldChar w:fldCharType="separate"/>
                </w:r>
                <w:r>
                  <w:rPr>
                    <w:rStyle w:val="25"/>
                  </w:rPr>
                  <w:t>17</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BEB80">
    <w:pPr>
      <w:pStyle w:val="15"/>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D9551BB">
                <w:pPr>
                  <w:pStyle w:val="15"/>
                  <w:jc w:val="center"/>
                </w:pPr>
                <w:r>
                  <w:fldChar w:fldCharType="begin"/>
                </w:r>
                <w:r>
                  <w:rPr>
                    <w:rStyle w:val="25"/>
                  </w:rPr>
                  <w:instrText xml:space="preserve"> PAGE </w:instrText>
                </w:r>
                <w:r>
                  <w:fldChar w:fldCharType="separate"/>
                </w:r>
                <w:r>
                  <w:rPr>
                    <w:rStyle w:val="25"/>
                  </w:rPr>
                  <w:t>23</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B8CAF">
    <w:pPr>
      <w:pStyle w:val="15"/>
      <w:jc w:val="center"/>
    </w:pPr>
    <w:r>
      <w:fldChar w:fldCharType="begin"/>
    </w:r>
    <w:r>
      <w:instrText xml:space="preserve"> PAGE  \* MERGEFORMAT </w:instrText>
    </w:r>
    <w:r>
      <w:fldChar w:fldCharType="separate"/>
    </w:r>
    <w:r>
      <w:t>68</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1E8A4">
    <w:pPr>
      <w:pStyle w:val="15"/>
      <w:jc w:val="center"/>
    </w:pPr>
    <w:r>
      <w:fldChar w:fldCharType="begin"/>
    </w:r>
    <w:r>
      <w:instrText xml:space="preserve"> PAGE  \* MERGEFORMAT </w:instrText>
    </w:r>
    <w:r>
      <w:fldChar w:fldCharType="separate"/>
    </w:r>
    <w:r>
      <w:t>71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979DC">
    <w:pPr>
      <w:pStyle w:val="15"/>
      <w:jc w:val="center"/>
    </w:pPr>
    <w:r>
      <w:fldChar w:fldCharType="begin"/>
    </w:r>
    <w:r>
      <w:instrText xml:space="preserve"> PAGE  \* MERGEFORMAT </w:instrText>
    </w:r>
    <w:r>
      <w:fldChar w:fldCharType="separate"/>
    </w:r>
    <w:r>
      <w:t>72</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2DB54">
    <w:pPr>
      <w:pStyle w:val="15"/>
      <w:jc w:val="center"/>
    </w:pPr>
    <w:r>
      <w:fldChar w:fldCharType="begin"/>
    </w:r>
    <w:r>
      <w:instrText xml:space="preserve"> PAGE  \* MERGEFORMAT </w:instrText>
    </w:r>
    <w:r>
      <w:fldChar w:fldCharType="separate"/>
    </w:r>
    <w:r>
      <w:t>73</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7131A">
    <w:pPr>
      <w:pStyle w:val="15"/>
      <w:jc w:val="center"/>
    </w:pPr>
    <w:r>
      <w:fldChar w:fldCharType="begin"/>
    </w:r>
    <w:r>
      <w:instrText xml:space="preserve"> PAGE  \* MERGEFORMAT </w:instrText>
    </w:r>
    <w:r>
      <w:fldChar w:fldCharType="separate"/>
    </w:r>
    <w:r>
      <w:t>74</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68F69">
    <w:pPr>
      <w:pStyle w:val="15"/>
      <w:jc w:val="center"/>
    </w:pPr>
    <w:r>
      <w:fldChar w:fldCharType="begin"/>
    </w:r>
    <w:r>
      <w:instrText xml:space="preserve"> PAGE  \* MERGEFORMAT </w:instrText>
    </w:r>
    <w:r>
      <w:fldChar w:fldCharType="separate"/>
    </w:r>
    <w:r>
      <w:t>75</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5C9E2">
    <w:pPr>
      <w:pStyle w:val="15"/>
      <w:jc w:val="center"/>
    </w:pPr>
    <w:r>
      <w:fldChar w:fldCharType="begin"/>
    </w:r>
    <w:r>
      <w:instrText xml:space="preserve"> PAGE  \* MERGEFORMAT </w:instrText>
    </w:r>
    <w:r>
      <w:fldChar w:fldCharType="separate"/>
    </w:r>
    <w:r>
      <w:t>76</w:t>
    </w:r>
    <w: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2F244">
    <w:pPr>
      <w:pStyle w:val="15"/>
      <w:jc w:val="center"/>
    </w:pPr>
    <w:r>
      <w:fldChar w:fldCharType="begin"/>
    </w:r>
    <w:r>
      <w:instrText xml:space="preserve"> PAGE  \* MERGEFORMAT </w:instrText>
    </w:r>
    <w:r>
      <w:fldChar w:fldCharType="separate"/>
    </w:r>
    <w:r>
      <w:t>77</w:t>
    </w:r>
    <w: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333D2">
    <w:pPr>
      <w:pStyle w:val="15"/>
      <w:jc w:val="center"/>
    </w:pPr>
    <w:r>
      <w:fldChar w:fldCharType="begin"/>
    </w:r>
    <w:r>
      <w:instrText xml:space="preserve"> PAGE  \* MERGEFORMAT </w:instrText>
    </w:r>
    <w:r>
      <w:fldChar w:fldCharType="separate"/>
    </w:r>
    <w:r>
      <w:t>79</w:t>
    </w:r>
    <w: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BBDE8">
    <w:pPr>
      <w:pStyle w:val="15"/>
      <w:jc w:val="center"/>
    </w:pPr>
    <w:r>
      <w:fldChar w:fldCharType="begin"/>
    </w:r>
    <w:r>
      <w:instrText xml:space="preserve"> PAGE  \* MERGEFORMAT </w:instrText>
    </w:r>
    <w:r>
      <w:fldChar w:fldCharType="separate"/>
    </w:r>
    <w:r>
      <w:t>81</w:t>
    </w:r>
    <w: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3A5F6">
    <w:pPr>
      <w:pStyle w:val="15"/>
      <w:jc w:val="center"/>
    </w:pPr>
    <w:r>
      <w:fldChar w:fldCharType="begin"/>
    </w:r>
    <w:r>
      <w:instrText xml:space="preserve"> PAGE  \* MERGEFORMAT </w:instrText>
    </w:r>
    <w:r>
      <w:fldChar w:fldCharType="separate"/>
    </w:r>
    <w:r>
      <w:t>82</w:t>
    </w:r>
    <w: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0CB3F">
    <w:pPr>
      <w:pStyle w:val="15"/>
      <w:jc w:val="center"/>
    </w:pPr>
    <w:r>
      <w:fldChar w:fldCharType="begin"/>
    </w:r>
    <w:r>
      <w:instrText xml:space="preserve"> PAGE  \* MERGEFORMAT </w:instrText>
    </w:r>
    <w:r>
      <w:fldChar w:fldCharType="separate"/>
    </w:r>
    <w:r>
      <w:t>83</w:t>
    </w:r>
    <w: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B0794">
    <w:pPr>
      <w:pStyle w:val="15"/>
      <w:jc w:val="center"/>
    </w:pPr>
    <w:r>
      <w:fldChar w:fldCharType="begin"/>
    </w:r>
    <w:r>
      <w:instrText xml:space="preserve"> PAGE  \* MERGEFORMAT </w:instrText>
    </w:r>
    <w:r>
      <w:fldChar w:fldCharType="separate"/>
    </w:r>
    <w:r>
      <w:t>84</w:t>
    </w:r>
    <w: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E5D55">
    <w:pPr>
      <w:pStyle w:val="15"/>
      <w:jc w:val="center"/>
    </w:pPr>
    <w:r>
      <w:fldChar w:fldCharType="begin"/>
    </w:r>
    <w:r>
      <w:instrText xml:space="preserve"> PAGE  \* MERGEFORMAT </w:instrText>
    </w:r>
    <w:r>
      <w:fldChar w:fldCharType="separate"/>
    </w:r>
    <w:r>
      <w:t>85</w:t>
    </w:r>
    <w: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51D6B">
    <w:pPr>
      <w:pStyle w:val="15"/>
      <w:jc w:val="center"/>
    </w:pPr>
    <w:r>
      <w:fldChar w:fldCharType="begin"/>
    </w:r>
    <w:r>
      <w:instrText xml:space="preserve"> PAGE  \* MERGEFORMAT </w:instrText>
    </w:r>
    <w:r>
      <w:fldChar w:fldCharType="separate"/>
    </w:r>
    <w:r>
      <w:t>86</w:t>
    </w:r>
    <w: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5B2AA">
    <w:pPr>
      <w:pStyle w:val="15"/>
      <w:jc w:val="center"/>
    </w:pPr>
    <w:r>
      <w:fldChar w:fldCharType="begin"/>
    </w:r>
    <w:r>
      <w:instrText xml:space="preserve"> PAGE  \* MERGEFORMAT </w:instrText>
    </w:r>
    <w:r>
      <w:fldChar w:fldCharType="separate"/>
    </w:r>
    <w:r>
      <w:t>87</w:t>
    </w:r>
    <w: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1B0A4">
    <w:pPr>
      <w:pStyle w:val="15"/>
      <w:jc w:val="center"/>
    </w:pPr>
    <w:r>
      <w:fldChar w:fldCharType="begin"/>
    </w:r>
    <w:r>
      <w:instrText xml:space="preserve"> PAGE  \* MERGEFORMAT </w:instrText>
    </w:r>
    <w:r>
      <w:fldChar w:fldCharType="separate"/>
    </w:r>
    <w:r>
      <w:t>88</w:t>
    </w:r>
    <w:r>
      <w:fldChar w:fldCharType="end"/>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BD7B7">
    <w:pPr>
      <w:pStyle w:val="15"/>
      <w:jc w:val="center"/>
    </w:pPr>
    <w:r>
      <w:fldChar w:fldCharType="begin"/>
    </w:r>
    <w:r>
      <w:instrText xml:space="preserve"> PAGE  \* MERGEFORMAT </w:instrText>
    </w:r>
    <w:r>
      <w:fldChar w:fldCharType="separate"/>
    </w:r>
    <w:r>
      <w:t>89</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D05E4">
    <w:pPr>
      <w:pStyle w:val="16"/>
      <w:pBdr>
        <w:bottom w:val="none" w:color="auto" w:sz="0" w:space="0"/>
      </w:pBdr>
      <w:jc w:val="left"/>
      <w:rPr>
        <w:rFonts w:hint="eastAsia" w:eastAsia="宋体"/>
        <w:lang w:eastAsia="zh-CN"/>
      </w:rPr>
    </w:pPr>
    <w:r>
      <w:rPr>
        <w:rFonts w:hint="eastAsia"/>
        <w:u w:val="double"/>
      </w:rPr>
      <w:t>项目名称：</w:t>
    </w:r>
    <w:r>
      <w:rPr>
        <w:rFonts w:hint="eastAsia" w:ascii="宋体" w:hAnsi="宋体" w:cs="Tahoma"/>
        <w:color w:val="000000"/>
        <w:szCs w:val="21"/>
        <w:u w:val="double"/>
        <w:lang w:eastAsia="zh-CN"/>
      </w:rPr>
      <w:t>潮阳农村商业银行铜盂支行营业厅、办公场所装修改造项目</w:t>
    </w:r>
    <w:r>
      <w:rPr>
        <w:rFonts w:hint="eastAsia"/>
        <w:u w:val="double"/>
        <w:lang w:val="en-US" w:eastAsia="zh-CN"/>
      </w:rPr>
      <w:t xml:space="preserve">            </w:t>
    </w:r>
    <w:r>
      <w:rPr>
        <w:rFonts w:hint="eastAsia"/>
        <w:u w:val="double"/>
      </w:rPr>
      <w:t xml:space="preserve"> 项目编号：</w:t>
    </w:r>
    <w:r>
      <w:rPr>
        <w:rFonts w:hint="eastAsia" w:ascii="宋体" w:hAnsi="宋体" w:cs="Tahoma"/>
        <w:color w:val="000000"/>
        <w:szCs w:val="21"/>
        <w:u w:val="double"/>
        <w:lang w:eastAsia="zh-CN"/>
      </w:rPr>
      <w:t xml:space="preserve"> GDQSST2024GG10001S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83EA4">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4398C">
    <w:pPr>
      <w:pStyle w:val="16"/>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065E1">
    <w:pPr>
      <w:pStyle w:val="16"/>
      <w:pBdr>
        <w:bottom w:val="none" w:color="auto" w:sz="0" w:space="0"/>
      </w:pBdr>
      <w:jc w:val="left"/>
      <w:rPr>
        <w:rFonts w:hint="eastAsia" w:eastAsia="宋体"/>
        <w:u w:val="double"/>
        <w:lang w:eastAsia="zh-CN"/>
      </w:rPr>
    </w:pPr>
    <w:r>
      <w:rPr>
        <w:rFonts w:hint="eastAsia"/>
        <w:u w:val="double"/>
      </w:rPr>
      <w:t>项目名称：</w:t>
    </w:r>
    <w:r>
      <w:rPr>
        <w:rFonts w:hint="eastAsia" w:ascii="宋体" w:hAnsi="宋体" w:cs="Tahoma"/>
        <w:color w:val="000000"/>
        <w:szCs w:val="21"/>
        <w:u w:val="double"/>
        <w:lang w:eastAsia="zh-CN"/>
      </w:rPr>
      <w:t>潮阳农村商业银行铜盂支行营业厅、办公场所装修改造项目</w:t>
    </w:r>
    <w:r>
      <w:rPr>
        <w:rFonts w:hint="eastAsia"/>
        <w:u w:val="double"/>
      </w:rPr>
      <w:t xml:space="preserve">      项目编号：</w:t>
    </w:r>
    <w:r>
      <w:rPr>
        <w:rFonts w:hint="eastAsia" w:ascii="宋体" w:hAnsi="宋体" w:cs="Tahoma"/>
        <w:color w:val="000000"/>
        <w:szCs w:val="21"/>
        <w:u w:val="double"/>
        <w:lang w:eastAsia="zh-CN"/>
      </w:rPr>
      <w:t xml:space="preserve"> GDQSST2024GG10001S</w:t>
    </w:r>
  </w:p>
  <w:p w14:paraId="71B3F77F">
    <w:pPr>
      <w:pStyle w:val="16"/>
      <w:pBdr>
        <w:bottom w:val="none" w:color="auto" w:sz="0" w:space="1"/>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39BFA">
    <w:pPr>
      <w:pStyle w:val="16"/>
      <w:pBdr>
        <w:bottom w:val="none" w:color="auto" w:sz="0" w:space="0"/>
      </w:pBdr>
      <w:jc w:val="left"/>
      <w:rPr>
        <w:rFonts w:hint="eastAsia" w:eastAsia="宋体"/>
        <w:u w:val="double"/>
        <w:lang w:eastAsia="zh-CN"/>
      </w:rPr>
    </w:pPr>
    <w:r>
      <w:rPr>
        <w:rFonts w:hint="eastAsia"/>
        <w:u w:val="double"/>
      </w:rPr>
      <w:t>项目名称：</w:t>
    </w:r>
    <w:r>
      <w:rPr>
        <w:rFonts w:hint="eastAsia" w:ascii="宋体" w:hAnsi="宋体" w:cs="Tahoma"/>
        <w:color w:val="000000"/>
        <w:szCs w:val="21"/>
        <w:u w:val="double"/>
      </w:rPr>
      <w:t xml:space="preserve"> </w:t>
    </w:r>
    <w:r>
      <w:rPr>
        <w:rFonts w:hint="eastAsia" w:ascii="宋体" w:hAnsi="宋体" w:cs="Tahoma"/>
        <w:color w:val="000000"/>
        <w:szCs w:val="21"/>
        <w:u w:val="double"/>
        <w:lang w:eastAsia="zh-CN"/>
      </w:rPr>
      <w:t>潮阳农村商业银行铜盂支行营业厅、办公场所装修改造项目</w:t>
    </w:r>
    <w:r>
      <w:rPr>
        <w:rFonts w:hint="eastAsia" w:ascii="宋体" w:hAnsi="宋体" w:cs="Tahoma"/>
        <w:color w:val="000000"/>
        <w:szCs w:val="21"/>
        <w:u w:val="double"/>
      </w:rPr>
      <w:t xml:space="preserve">          </w:t>
    </w:r>
    <w:r>
      <w:rPr>
        <w:rFonts w:hint="eastAsia"/>
        <w:u w:val="double"/>
      </w:rPr>
      <w:t>项目编号：</w:t>
    </w:r>
    <w:r>
      <w:rPr>
        <w:rFonts w:hint="eastAsia" w:ascii="宋体" w:hAnsi="宋体" w:cs="Tahoma"/>
        <w:color w:val="000000"/>
        <w:szCs w:val="21"/>
        <w:u w:val="double"/>
        <w:lang w:eastAsia="zh-CN"/>
      </w:rPr>
      <w:t xml:space="preserve"> GDQSST2024GG10001S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10B216D"/>
    <w:multiLevelType w:val="multilevel"/>
    <w:tmpl w:val="010B216D"/>
    <w:lvl w:ilvl="0" w:tentative="0">
      <w:start w:val="1"/>
      <w:numFmt w:val="decimal"/>
      <w:lvlText w:val="%1."/>
      <w:lvlJc w:val="left"/>
      <w:pPr>
        <w:tabs>
          <w:tab w:val="left" w:pos="425"/>
        </w:tabs>
        <w:ind w:left="425" w:hanging="425"/>
      </w:pPr>
      <w:rPr>
        <w:rFonts w:hint="eastAsia"/>
        <w:b/>
        <w:i w:val="0"/>
        <w:sz w:val="28"/>
        <w:szCs w:val="28"/>
      </w:rPr>
    </w:lvl>
    <w:lvl w:ilvl="1" w:tentative="0">
      <w:start w:val="1"/>
      <w:numFmt w:val="decimal"/>
      <w:lvlText w:val="%1.%2."/>
      <w:lvlJc w:val="left"/>
      <w:pPr>
        <w:tabs>
          <w:tab w:val="left" w:pos="567"/>
        </w:tabs>
        <w:ind w:left="567" w:hanging="567"/>
      </w:pPr>
      <w:rPr>
        <w:rFonts w:hint="eastAsia" w:ascii="宋体" w:hAnsi="宋体" w:eastAsia="宋体"/>
        <w:b/>
        <w:i w:val="0"/>
        <w:sz w:val="24"/>
        <w:szCs w:val="24"/>
      </w:rPr>
    </w:lvl>
    <w:lvl w:ilvl="2" w:tentative="0">
      <w:start w:val="1"/>
      <w:numFmt w:val="decimal"/>
      <w:lvlText w:val="%1.%2.%3."/>
      <w:lvlJc w:val="left"/>
      <w:pPr>
        <w:tabs>
          <w:tab w:val="left" w:pos="624"/>
        </w:tabs>
        <w:ind w:left="624" w:hanging="624"/>
      </w:pPr>
      <w:rPr>
        <w:rFonts w:hint="eastAsia" w:ascii="宋体" w:eastAsia="宋体"/>
        <w:b w:val="0"/>
        <w:i w:val="0"/>
        <w:color w:val="000000"/>
        <w:sz w:val="24"/>
        <w:szCs w:val="24"/>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0A7857EC"/>
    <w:multiLevelType w:val="multilevel"/>
    <w:tmpl w:val="0A7857EC"/>
    <w:lvl w:ilvl="0" w:tentative="0">
      <w:start w:val="1"/>
      <w:numFmt w:val="decimal"/>
      <w:lvlText w:val="（%1）"/>
      <w:lvlJc w:val="left"/>
      <w:pPr>
        <w:tabs>
          <w:tab w:val="left" w:pos="720"/>
        </w:tabs>
        <w:ind w:left="720" w:hanging="720"/>
      </w:pPr>
      <w:rPr>
        <w:rFonts w:hint="eastAsia"/>
      </w:rPr>
    </w:lvl>
    <w:lvl w:ilvl="1" w:tentative="0">
      <w:start w:val="1"/>
      <w:numFmt w:val="decimal"/>
      <w:lvlText w:val="%2、"/>
      <w:lvlJc w:val="left"/>
      <w:pPr>
        <w:tabs>
          <w:tab w:val="left" w:pos="360"/>
        </w:tabs>
        <w:ind w:left="357" w:hanging="357"/>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106E07C1"/>
    <w:multiLevelType w:val="multilevel"/>
    <w:tmpl w:val="106E07C1"/>
    <w:lvl w:ilvl="0" w:tentative="0">
      <w:start w:val="1"/>
      <w:numFmt w:val="decimal"/>
      <w:lvlText w:val="（%1）"/>
      <w:lvlJc w:val="left"/>
      <w:pPr>
        <w:tabs>
          <w:tab w:val="left" w:pos="720"/>
        </w:tabs>
        <w:ind w:left="720" w:hanging="720"/>
      </w:pPr>
      <w:rPr>
        <w:rFonts w:hint="default"/>
      </w:rPr>
    </w:lvl>
    <w:lvl w:ilvl="1" w:tentative="0">
      <w:start w:val="5"/>
      <w:numFmt w:val="japaneseCounting"/>
      <w:lvlText w:val="第%2章"/>
      <w:lvlJc w:val="left"/>
      <w:pPr>
        <w:tabs>
          <w:tab w:val="left" w:pos="2175"/>
        </w:tabs>
        <w:ind w:left="2175" w:hanging="1755"/>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1D5D3EE2"/>
    <w:multiLevelType w:val="multilevel"/>
    <w:tmpl w:val="1D5D3EE2"/>
    <w:lvl w:ilvl="0" w:tentative="0">
      <w:start w:val="1"/>
      <w:numFmt w:val="decimal"/>
      <w:lvlText w:val="（%1）"/>
      <w:lvlJc w:val="left"/>
      <w:pPr>
        <w:tabs>
          <w:tab w:val="left" w:pos="718"/>
        </w:tabs>
        <w:ind w:left="718" w:hanging="720"/>
      </w:pPr>
      <w:rPr>
        <w:rFonts w:hint="eastAsia"/>
      </w:rPr>
    </w:lvl>
    <w:lvl w:ilvl="1" w:tentative="0">
      <w:start w:val="6"/>
      <w:numFmt w:val="japaneseCounting"/>
      <w:lvlText w:val="%2、"/>
      <w:lvlJc w:val="left"/>
      <w:pPr>
        <w:tabs>
          <w:tab w:val="left" w:pos="1138"/>
        </w:tabs>
        <w:ind w:left="1138" w:hanging="720"/>
      </w:pPr>
      <w:rPr>
        <w:rFonts w:hint="eastAsia"/>
      </w:rPr>
    </w:lvl>
    <w:lvl w:ilvl="2" w:tentative="0">
      <w:start w:val="3"/>
      <w:numFmt w:val="decimal"/>
      <w:lvlText w:val="%3．"/>
      <w:lvlJc w:val="left"/>
      <w:pPr>
        <w:tabs>
          <w:tab w:val="left" w:pos="1558"/>
        </w:tabs>
        <w:ind w:left="1558" w:hanging="720"/>
      </w:pPr>
      <w:rPr>
        <w:rFonts w:hint="eastAsia"/>
      </w:rPr>
    </w:lvl>
    <w:lvl w:ilvl="3" w:tentative="0">
      <w:start w:val="12"/>
      <w:numFmt w:val="decimal"/>
      <w:lvlText w:val="%4、"/>
      <w:lvlJc w:val="left"/>
      <w:pPr>
        <w:tabs>
          <w:tab w:val="left" w:pos="1738"/>
        </w:tabs>
        <w:ind w:left="1738" w:hanging="480"/>
      </w:pPr>
      <w:rPr>
        <w:rFonts w:hint="eastAsia"/>
      </w:rPr>
    </w:lvl>
    <w:lvl w:ilvl="4" w:tentative="0">
      <w:start w:val="1"/>
      <w:numFmt w:val="japaneseCounting"/>
      <w:lvlText w:val="（%5）"/>
      <w:lvlJc w:val="left"/>
      <w:pPr>
        <w:tabs>
          <w:tab w:val="left" w:pos="2398"/>
        </w:tabs>
        <w:ind w:left="2398" w:hanging="720"/>
      </w:pPr>
      <w:rPr>
        <w:rFonts w:hint="eastAsia"/>
      </w:rPr>
    </w:lvl>
    <w:lvl w:ilvl="5" w:tentative="0">
      <w:start w:val="1"/>
      <w:numFmt w:val="decimal"/>
      <w:lvlText w:val="%6）"/>
      <w:lvlJc w:val="left"/>
      <w:pPr>
        <w:tabs>
          <w:tab w:val="left" w:pos="2458"/>
        </w:tabs>
        <w:ind w:left="2458" w:hanging="360"/>
      </w:pPr>
      <w:rPr>
        <w:rFonts w:hint="default"/>
      </w:rPr>
    </w:lvl>
    <w:lvl w:ilvl="6" w:tentative="0">
      <w:start w:val="1"/>
      <w:numFmt w:val="decimal"/>
      <w:lvlText w:val="%7."/>
      <w:lvlJc w:val="left"/>
      <w:pPr>
        <w:tabs>
          <w:tab w:val="left" w:pos="2938"/>
        </w:tabs>
        <w:ind w:left="2938" w:hanging="420"/>
      </w:pPr>
    </w:lvl>
    <w:lvl w:ilvl="7" w:tentative="0">
      <w:start w:val="1"/>
      <w:numFmt w:val="lowerLetter"/>
      <w:lvlText w:val="%8)"/>
      <w:lvlJc w:val="left"/>
      <w:pPr>
        <w:tabs>
          <w:tab w:val="left" w:pos="3358"/>
        </w:tabs>
        <w:ind w:left="3358" w:hanging="420"/>
      </w:pPr>
    </w:lvl>
    <w:lvl w:ilvl="8" w:tentative="0">
      <w:start w:val="1"/>
      <w:numFmt w:val="lowerRoman"/>
      <w:lvlText w:val="%9."/>
      <w:lvlJc w:val="right"/>
      <w:pPr>
        <w:tabs>
          <w:tab w:val="left" w:pos="3778"/>
        </w:tabs>
        <w:ind w:left="3778" w:hanging="420"/>
      </w:pPr>
    </w:lvl>
  </w:abstractNum>
  <w:abstractNum w:abstractNumId="5">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0EE73D2"/>
    <w:multiLevelType w:val="multilevel"/>
    <w:tmpl w:val="20EE73D2"/>
    <w:lvl w:ilvl="0" w:tentative="0">
      <w:start w:val="1"/>
      <w:numFmt w:val="decimal"/>
      <w:lvlText w:val="%1."/>
      <w:lvlJc w:val="left"/>
      <w:pPr>
        <w:tabs>
          <w:tab w:val="left" w:pos="960"/>
        </w:tabs>
        <w:ind w:left="960" w:hanging="420"/>
      </w:p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7">
    <w:nsid w:val="234D0C22"/>
    <w:multiLevelType w:val="multilevel"/>
    <w:tmpl w:val="234D0C22"/>
    <w:lvl w:ilvl="0" w:tentative="0">
      <w:start w:val="1"/>
      <w:numFmt w:val="decimal"/>
      <w:lvlText w:val="（%1）"/>
      <w:lvlJc w:val="left"/>
      <w:pPr>
        <w:tabs>
          <w:tab w:val="left" w:pos="718"/>
        </w:tabs>
        <w:ind w:left="718" w:hanging="720"/>
      </w:pPr>
      <w:rPr>
        <w:rFonts w:hint="eastAsia"/>
      </w:rPr>
    </w:lvl>
    <w:lvl w:ilvl="1" w:tentative="0">
      <w:start w:val="1"/>
      <w:numFmt w:val="lowerLetter"/>
      <w:lvlText w:val="%2）"/>
      <w:lvlJc w:val="left"/>
      <w:pPr>
        <w:tabs>
          <w:tab w:val="left" w:pos="1651"/>
        </w:tabs>
        <w:ind w:left="1651" w:hanging="571"/>
      </w:pPr>
      <w:rPr>
        <w:rFonts w:hint="default"/>
      </w:rPr>
    </w:lvl>
    <w:lvl w:ilvl="2" w:tentative="0">
      <w:start w:val="1"/>
      <w:numFmt w:val="decimal"/>
      <w:lvlText w:val="%3)"/>
      <w:lvlJc w:val="left"/>
      <w:pPr>
        <w:tabs>
          <w:tab w:val="left" w:pos="1050"/>
        </w:tabs>
        <w:ind w:left="1050" w:hanging="420"/>
      </w:pPr>
      <w:rPr>
        <w:rFonts w:hint="eastAsia"/>
      </w:rPr>
    </w:lvl>
    <w:lvl w:ilvl="3" w:tentative="0">
      <w:start w:val="1"/>
      <w:numFmt w:val="decimal"/>
      <w:lvlText w:val="%4）"/>
      <w:lvlJc w:val="left"/>
      <w:pPr>
        <w:tabs>
          <w:tab w:val="left" w:pos="2098"/>
        </w:tabs>
        <w:ind w:left="2098" w:hanging="840"/>
      </w:pPr>
      <w:rPr>
        <w:rFonts w:hint="default"/>
      </w:rPr>
    </w:lvl>
    <w:lvl w:ilvl="4" w:tentative="0">
      <w:start w:val="5"/>
      <w:numFmt w:val="decimal"/>
      <w:lvlText w:val="%5、"/>
      <w:lvlJc w:val="left"/>
      <w:pPr>
        <w:tabs>
          <w:tab w:val="left" w:pos="2038"/>
        </w:tabs>
        <w:ind w:left="2038" w:hanging="360"/>
      </w:pPr>
      <w:rPr>
        <w:rFonts w:hint="default"/>
      </w:rPr>
    </w:lvl>
    <w:lvl w:ilvl="5" w:tentative="0">
      <w:start w:val="1"/>
      <w:numFmt w:val="lowerRoman"/>
      <w:lvlText w:val="%6."/>
      <w:lvlJc w:val="right"/>
      <w:pPr>
        <w:tabs>
          <w:tab w:val="left" w:pos="2518"/>
        </w:tabs>
        <w:ind w:left="2518" w:hanging="420"/>
      </w:pPr>
    </w:lvl>
    <w:lvl w:ilvl="6" w:tentative="0">
      <w:start w:val="1"/>
      <w:numFmt w:val="decimal"/>
      <w:lvlText w:val="%7."/>
      <w:lvlJc w:val="left"/>
      <w:pPr>
        <w:tabs>
          <w:tab w:val="left" w:pos="2938"/>
        </w:tabs>
        <w:ind w:left="2938" w:hanging="420"/>
      </w:pPr>
    </w:lvl>
    <w:lvl w:ilvl="7" w:tentative="0">
      <w:start w:val="1"/>
      <w:numFmt w:val="lowerLetter"/>
      <w:lvlText w:val="%8)"/>
      <w:lvlJc w:val="left"/>
      <w:pPr>
        <w:tabs>
          <w:tab w:val="left" w:pos="3358"/>
        </w:tabs>
        <w:ind w:left="3358" w:hanging="420"/>
      </w:pPr>
    </w:lvl>
    <w:lvl w:ilvl="8" w:tentative="0">
      <w:start w:val="1"/>
      <w:numFmt w:val="lowerRoman"/>
      <w:lvlText w:val="%9."/>
      <w:lvlJc w:val="right"/>
      <w:pPr>
        <w:tabs>
          <w:tab w:val="left" w:pos="3778"/>
        </w:tabs>
        <w:ind w:left="3778" w:hanging="420"/>
      </w:pPr>
    </w:lvl>
  </w:abstractNum>
  <w:abstractNum w:abstractNumId="8">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0">
    <w:nsid w:val="37305D9C"/>
    <w:multiLevelType w:val="multilevel"/>
    <w:tmpl w:val="37305D9C"/>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46A61FC5"/>
    <w:multiLevelType w:val="multilevel"/>
    <w:tmpl w:val="46A61FC5"/>
    <w:lvl w:ilvl="0" w:tentative="0">
      <w:start w:val="1"/>
      <w:numFmt w:val="decimal"/>
      <w:lvlText w:val="%1."/>
      <w:lvlJc w:val="left"/>
      <w:pPr>
        <w:ind w:left="704" w:hanging="420"/>
      </w:pPr>
      <w:rPr>
        <w:rFonts w:hint="eastAsia"/>
        <w:sz w:val="21"/>
        <w:szCs w:val="21"/>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12">
    <w:nsid w:val="683E6D1D"/>
    <w:multiLevelType w:val="multilevel"/>
    <w:tmpl w:val="683E6D1D"/>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3">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9"/>
  </w:num>
  <w:num w:numId="3">
    <w:abstractNumId w:val="1"/>
  </w:num>
  <w:num w:numId="4">
    <w:abstractNumId w:val="2"/>
  </w:num>
  <w:num w:numId="5">
    <w:abstractNumId w:val="4"/>
  </w:num>
  <w:num w:numId="6">
    <w:abstractNumId w:val="7"/>
  </w:num>
  <w:num w:numId="7">
    <w:abstractNumId w:val="3"/>
  </w:num>
  <w:num w:numId="8">
    <w:abstractNumId w:val="5"/>
  </w:num>
  <w:num w:numId="9">
    <w:abstractNumId w:val="12"/>
  </w:num>
  <w:num w:numId="10">
    <w:abstractNumId w:val="0"/>
  </w:num>
  <w:num w:numId="11">
    <w:abstractNumId w:val="13"/>
  </w:num>
  <w:num w:numId="12">
    <w:abstractNumId w:val="11"/>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gutterAtTop/>
  <w:hideSpellingErrors/>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Mzc1NzdmMDQ1Yzc0YjVkNDI4ODkyZTYxZDUyOWZjOTgifQ=="/>
  </w:docVars>
  <w:rsids>
    <w:rsidRoot w:val="00172A27"/>
    <w:rsid w:val="00172A27"/>
    <w:rsid w:val="00244BAD"/>
    <w:rsid w:val="00291ECF"/>
    <w:rsid w:val="00365B2A"/>
    <w:rsid w:val="00366AC3"/>
    <w:rsid w:val="003A353F"/>
    <w:rsid w:val="004104B7"/>
    <w:rsid w:val="00467A54"/>
    <w:rsid w:val="005642F4"/>
    <w:rsid w:val="00624C21"/>
    <w:rsid w:val="00642BD4"/>
    <w:rsid w:val="00650F87"/>
    <w:rsid w:val="00801FC6"/>
    <w:rsid w:val="00806CE3"/>
    <w:rsid w:val="0081253D"/>
    <w:rsid w:val="0096294C"/>
    <w:rsid w:val="009B5324"/>
    <w:rsid w:val="00A01909"/>
    <w:rsid w:val="00B37388"/>
    <w:rsid w:val="00B6347C"/>
    <w:rsid w:val="00C24493"/>
    <w:rsid w:val="00E37056"/>
    <w:rsid w:val="00E93458"/>
    <w:rsid w:val="00EF2DB4"/>
    <w:rsid w:val="00F4565F"/>
    <w:rsid w:val="00F85BFB"/>
    <w:rsid w:val="00FB7A36"/>
    <w:rsid w:val="011A5CB1"/>
    <w:rsid w:val="02267992"/>
    <w:rsid w:val="02DA4630"/>
    <w:rsid w:val="04CF09AE"/>
    <w:rsid w:val="05B0076B"/>
    <w:rsid w:val="05F907C0"/>
    <w:rsid w:val="067E3153"/>
    <w:rsid w:val="0720578D"/>
    <w:rsid w:val="0AF46734"/>
    <w:rsid w:val="0C460FFA"/>
    <w:rsid w:val="0C5E7E8E"/>
    <w:rsid w:val="0C78441B"/>
    <w:rsid w:val="0D00294E"/>
    <w:rsid w:val="0FF838EA"/>
    <w:rsid w:val="105E0AED"/>
    <w:rsid w:val="10C17A4F"/>
    <w:rsid w:val="121A74A7"/>
    <w:rsid w:val="12340096"/>
    <w:rsid w:val="13980513"/>
    <w:rsid w:val="146E1F24"/>
    <w:rsid w:val="14823194"/>
    <w:rsid w:val="14F5757E"/>
    <w:rsid w:val="15F76313"/>
    <w:rsid w:val="18FB3CAE"/>
    <w:rsid w:val="18FC36E3"/>
    <w:rsid w:val="1B67763F"/>
    <w:rsid w:val="1E3651FB"/>
    <w:rsid w:val="1EB06519"/>
    <w:rsid w:val="1F763658"/>
    <w:rsid w:val="1FC37E85"/>
    <w:rsid w:val="2060017F"/>
    <w:rsid w:val="20DF26FA"/>
    <w:rsid w:val="217257A1"/>
    <w:rsid w:val="24567223"/>
    <w:rsid w:val="27337ECE"/>
    <w:rsid w:val="27556438"/>
    <w:rsid w:val="275930D5"/>
    <w:rsid w:val="27DF1A45"/>
    <w:rsid w:val="2A057CB2"/>
    <w:rsid w:val="2B141B98"/>
    <w:rsid w:val="2B3304DB"/>
    <w:rsid w:val="2C311A68"/>
    <w:rsid w:val="2CB72527"/>
    <w:rsid w:val="2CC57DB8"/>
    <w:rsid w:val="2E380BC8"/>
    <w:rsid w:val="2E3C0F5B"/>
    <w:rsid w:val="2FF3237B"/>
    <w:rsid w:val="2FFC7910"/>
    <w:rsid w:val="31043CDD"/>
    <w:rsid w:val="32442A49"/>
    <w:rsid w:val="33A8634A"/>
    <w:rsid w:val="33B07A7E"/>
    <w:rsid w:val="355F5BED"/>
    <w:rsid w:val="357A41D2"/>
    <w:rsid w:val="379D7EDF"/>
    <w:rsid w:val="38EF2126"/>
    <w:rsid w:val="3B75212B"/>
    <w:rsid w:val="3D610D70"/>
    <w:rsid w:val="3EE04317"/>
    <w:rsid w:val="3F705F11"/>
    <w:rsid w:val="3FFF5839"/>
    <w:rsid w:val="414C0319"/>
    <w:rsid w:val="41B10BC9"/>
    <w:rsid w:val="42053B2D"/>
    <w:rsid w:val="425806B3"/>
    <w:rsid w:val="425F288F"/>
    <w:rsid w:val="4414408D"/>
    <w:rsid w:val="44D07F7A"/>
    <w:rsid w:val="46AC4714"/>
    <w:rsid w:val="482D4B93"/>
    <w:rsid w:val="48F57835"/>
    <w:rsid w:val="49801C32"/>
    <w:rsid w:val="4B374AEC"/>
    <w:rsid w:val="4CCA30F3"/>
    <w:rsid w:val="4D574C5C"/>
    <w:rsid w:val="4D7E3EFC"/>
    <w:rsid w:val="4EEC7FDD"/>
    <w:rsid w:val="50B372B5"/>
    <w:rsid w:val="53182793"/>
    <w:rsid w:val="53551A0D"/>
    <w:rsid w:val="539636C4"/>
    <w:rsid w:val="53E54C16"/>
    <w:rsid w:val="564D6E56"/>
    <w:rsid w:val="56867BF0"/>
    <w:rsid w:val="571757E4"/>
    <w:rsid w:val="582B5696"/>
    <w:rsid w:val="59841B04"/>
    <w:rsid w:val="59E24BF4"/>
    <w:rsid w:val="5A125A88"/>
    <w:rsid w:val="5B59639B"/>
    <w:rsid w:val="5B985A30"/>
    <w:rsid w:val="5C7B284A"/>
    <w:rsid w:val="5D26295A"/>
    <w:rsid w:val="5DBD3E13"/>
    <w:rsid w:val="5EBA601D"/>
    <w:rsid w:val="5F016E8D"/>
    <w:rsid w:val="5FE743D3"/>
    <w:rsid w:val="610611F0"/>
    <w:rsid w:val="617D1222"/>
    <w:rsid w:val="645B0BA2"/>
    <w:rsid w:val="64944669"/>
    <w:rsid w:val="655568C0"/>
    <w:rsid w:val="66EC3883"/>
    <w:rsid w:val="67D25C87"/>
    <w:rsid w:val="68EB4579"/>
    <w:rsid w:val="68F90086"/>
    <w:rsid w:val="690E314D"/>
    <w:rsid w:val="69E456E2"/>
    <w:rsid w:val="6A177AEB"/>
    <w:rsid w:val="6A6C2B92"/>
    <w:rsid w:val="6B530F92"/>
    <w:rsid w:val="6BD64C1E"/>
    <w:rsid w:val="6DC17E93"/>
    <w:rsid w:val="6EB32A55"/>
    <w:rsid w:val="6FF565E0"/>
    <w:rsid w:val="706F2DC2"/>
    <w:rsid w:val="70F33611"/>
    <w:rsid w:val="727F28EA"/>
    <w:rsid w:val="72890E47"/>
    <w:rsid w:val="73790AAC"/>
    <w:rsid w:val="743C23E3"/>
    <w:rsid w:val="7572216B"/>
    <w:rsid w:val="7587706B"/>
    <w:rsid w:val="7712408D"/>
    <w:rsid w:val="7766679B"/>
    <w:rsid w:val="77DB3328"/>
    <w:rsid w:val="78D95618"/>
    <w:rsid w:val="79576ED3"/>
    <w:rsid w:val="7AE774FA"/>
    <w:rsid w:val="7C5A62A2"/>
    <w:rsid w:val="7EEB0CF5"/>
    <w:rsid w:val="7FE23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8"/>
    <w:autoRedefine/>
    <w:qFormat/>
    <w:uiPriority w:val="0"/>
    <w:pPr>
      <w:keepNext/>
      <w:keepLines/>
      <w:spacing w:before="340" w:after="330" w:line="578" w:lineRule="auto"/>
      <w:outlineLvl w:val="0"/>
    </w:pPr>
    <w:rPr>
      <w:b/>
      <w:kern w:val="44"/>
      <w:sz w:val="44"/>
      <w:szCs w:val="20"/>
    </w:rPr>
  </w:style>
  <w:style w:type="paragraph" w:styleId="4">
    <w:name w:val="heading 2"/>
    <w:basedOn w:val="1"/>
    <w:next w:val="5"/>
    <w:qFormat/>
    <w:uiPriority w:val="0"/>
    <w:pPr>
      <w:keepNext/>
      <w:keepLines/>
      <w:spacing w:before="20" w:after="20" w:line="500" w:lineRule="exact"/>
      <w:outlineLvl w:val="1"/>
    </w:pPr>
    <w:rPr>
      <w:rFonts w:ascii="宋体" w:hAnsi="宋体"/>
      <w:b/>
      <w:sz w:val="28"/>
      <w:szCs w:val="20"/>
    </w:rPr>
  </w:style>
  <w:style w:type="paragraph" w:styleId="6">
    <w:name w:val="heading 3"/>
    <w:basedOn w:val="1"/>
    <w:next w:val="5"/>
    <w:autoRedefine/>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宋体" w:hAnsi="宋体"/>
      <w:b/>
      <w:sz w:val="28"/>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customStyle="1" w:styleId="2">
    <w:name w:val="样式 宋体 行距: 1.5 倍行距"/>
    <w:basedOn w:val="1"/>
    <w:qFormat/>
    <w:uiPriority w:val="0"/>
    <w:pPr>
      <w:jc w:val="center"/>
    </w:pPr>
    <w:rPr>
      <w:rFonts w:ascii="Times New Roman" w:hAnsi="Times New Roman"/>
      <w:b/>
    </w:rPr>
  </w:style>
  <w:style w:type="paragraph" w:styleId="5">
    <w:name w:val="Normal Indent"/>
    <w:basedOn w:val="1"/>
    <w:link w:val="39"/>
    <w:autoRedefine/>
    <w:qFormat/>
    <w:uiPriority w:val="0"/>
    <w:pPr>
      <w:spacing w:line="360" w:lineRule="auto"/>
      <w:ind w:firstLine="420"/>
    </w:pPr>
    <w:rPr>
      <w:sz w:val="24"/>
      <w:szCs w:val="20"/>
    </w:rPr>
  </w:style>
  <w:style w:type="paragraph" w:styleId="8">
    <w:name w:val="Document Map"/>
    <w:basedOn w:val="1"/>
    <w:autoRedefine/>
    <w:semiHidden/>
    <w:qFormat/>
    <w:uiPriority w:val="0"/>
    <w:pPr>
      <w:shd w:val="clear" w:color="auto" w:fill="000080"/>
    </w:pPr>
  </w:style>
  <w:style w:type="paragraph" w:styleId="9">
    <w:name w:val="annotation text"/>
    <w:basedOn w:val="1"/>
    <w:link w:val="40"/>
    <w:autoRedefine/>
    <w:semiHidden/>
    <w:qFormat/>
    <w:uiPriority w:val="0"/>
    <w:pPr>
      <w:jc w:val="left"/>
    </w:pPr>
  </w:style>
  <w:style w:type="paragraph" w:styleId="10">
    <w:name w:val="Body Text"/>
    <w:basedOn w:val="1"/>
    <w:next w:val="1"/>
    <w:autoRedefine/>
    <w:qFormat/>
    <w:uiPriority w:val="0"/>
    <w:pPr>
      <w:spacing w:after="120"/>
    </w:pPr>
  </w:style>
  <w:style w:type="paragraph" w:styleId="11">
    <w:name w:val="Body Text Indent"/>
    <w:basedOn w:val="1"/>
    <w:autoRedefine/>
    <w:qFormat/>
    <w:uiPriority w:val="0"/>
    <w:pPr>
      <w:spacing w:line="300" w:lineRule="auto"/>
      <w:ind w:left="718" w:leftChars="342"/>
    </w:pPr>
    <w:rPr>
      <w:rFonts w:ascii="仿宋_GB2312" w:hAnsi="宋体" w:eastAsia="仿宋_GB2312"/>
      <w:sz w:val="24"/>
    </w:rPr>
  </w:style>
  <w:style w:type="paragraph" w:styleId="12">
    <w:name w:val="Plain Text"/>
    <w:basedOn w:val="1"/>
    <w:link w:val="41"/>
    <w:autoRedefine/>
    <w:qFormat/>
    <w:uiPriority w:val="0"/>
    <w:rPr>
      <w:rFonts w:ascii="宋体" w:hAnsi="Courier New"/>
    </w:rPr>
  </w:style>
  <w:style w:type="paragraph" w:styleId="13">
    <w:name w:val="Date"/>
    <w:basedOn w:val="1"/>
    <w:next w:val="1"/>
    <w:autoRedefine/>
    <w:qFormat/>
    <w:uiPriority w:val="0"/>
    <w:pPr>
      <w:ind w:left="100" w:leftChars="2500"/>
    </w:pPr>
    <w:rPr>
      <w:sz w:val="28"/>
    </w:rPr>
  </w:style>
  <w:style w:type="paragraph" w:styleId="14">
    <w:name w:val="Balloon Text"/>
    <w:basedOn w:val="1"/>
    <w:autoRedefine/>
    <w:semiHidden/>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sz w:val="18"/>
      <w:szCs w:val="18"/>
    </w:rPr>
  </w:style>
  <w:style w:type="paragraph" w:styleId="16">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7">
    <w:name w:val="toc 1"/>
    <w:basedOn w:val="1"/>
    <w:next w:val="1"/>
    <w:autoRedefine/>
    <w:semiHidden/>
    <w:qFormat/>
    <w:uiPriority w:val="0"/>
  </w:style>
  <w:style w:type="paragraph" w:styleId="18">
    <w:name w:val="Body Text Indent 3"/>
    <w:basedOn w:val="1"/>
    <w:autoRedefine/>
    <w:qFormat/>
    <w:uiPriority w:val="0"/>
    <w:pPr>
      <w:spacing w:after="120"/>
      <w:ind w:left="420" w:leftChars="200"/>
    </w:pPr>
    <w:rPr>
      <w:sz w:val="16"/>
      <w:szCs w:val="16"/>
    </w:rPr>
  </w:style>
  <w:style w:type="paragraph" w:styleId="19">
    <w:name w:val="Body Text 2"/>
    <w:basedOn w:val="1"/>
    <w:autoRedefine/>
    <w:qFormat/>
    <w:uiPriority w:val="0"/>
    <w:pPr>
      <w:spacing w:after="120" w:line="480" w:lineRule="auto"/>
    </w:pPr>
  </w:style>
  <w:style w:type="paragraph" w:styleId="20">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21">
    <w:name w:val="annotation subject"/>
    <w:basedOn w:val="9"/>
    <w:next w:val="9"/>
    <w:autoRedefine/>
    <w:semiHidden/>
    <w:qFormat/>
    <w:uiPriority w:val="0"/>
    <w:rPr>
      <w:b/>
      <w:bCs/>
    </w:rPr>
  </w:style>
  <w:style w:type="table" w:styleId="23">
    <w:name w:val="Table Grid"/>
    <w:basedOn w:val="2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page number"/>
    <w:autoRedefine/>
    <w:qFormat/>
    <w:uiPriority w:val="0"/>
  </w:style>
  <w:style w:type="character" w:styleId="26">
    <w:name w:val="FollowedHyperlink"/>
    <w:autoRedefine/>
    <w:qFormat/>
    <w:uiPriority w:val="0"/>
    <w:rPr>
      <w:color w:val="2D64B3"/>
      <w:u w:val="none"/>
    </w:rPr>
  </w:style>
  <w:style w:type="character" w:styleId="27">
    <w:name w:val="Emphasis"/>
    <w:autoRedefine/>
    <w:qFormat/>
    <w:uiPriority w:val="0"/>
  </w:style>
  <w:style w:type="character" w:styleId="28">
    <w:name w:val="HTML Definition"/>
    <w:autoRedefine/>
    <w:qFormat/>
    <w:uiPriority w:val="0"/>
  </w:style>
  <w:style w:type="character" w:styleId="29">
    <w:name w:val="HTML Variable"/>
    <w:qFormat/>
    <w:uiPriority w:val="0"/>
  </w:style>
  <w:style w:type="character" w:styleId="30">
    <w:name w:val="Hyperlink"/>
    <w:autoRedefine/>
    <w:qFormat/>
    <w:uiPriority w:val="0"/>
    <w:rPr>
      <w:color w:val="2D64B3"/>
      <w:u w:val="none"/>
    </w:rPr>
  </w:style>
  <w:style w:type="character" w:styleId="31">
    <w:name w:val="HTML Code"/>
    <w:autoRedefine/>
    <w:qFormat/>
    <w:uiPriority w:val="0"/>
    <w:rPr>
      <w:rFonts w:hint="default" w:ascii="Arial" w:hAnsi="Arial" w:cs="Arial"/>
      <w:sz w:val="20"/>
    </w:rPr>
  </w:style>
  <w:style w:type="character" w:styleId="32">
    <w:name w:val="annotation reference"/>
    <w:autoRedefine/>
    <w:semiHidden/>
    <w:qFormat/>
    <w:uiPriority w:val="0"/>
    <w:rPr>
      <w:sz w:val="21"/>
      <w:szCs w:val="21"/>
    </w:rPr>
  </w:style>
  <w:style w:type="character" w:styleId="33">
    <w:name w:val="HTML Cite"/>
    <w:autoRedefine/>
    <w:qFormat/>
    <w:uiPriority w:val="0"/>
  </w:style>
  <w:style w:type="character" w:styleId="34">
    <w:name w:val="HTML Keyboard"/>
    <w:autoRedefine/>
    <w:qFormat/>
    <w:uiPriority w:val="0"/>
    <w:rPr>
      <w:rFonts w:hint="default" w:ascii="Arial" w:hAnsi="Arial" w:cs="Arial"/>
      <w:sz w:val="20"/>
    </w:rPr>
  </w:style>
  <w:style w:type="character" w:styleId="35">
    <w:name w:val="HTML Sample"/>
    <w:autoRedefine/>
    <w:qFormat/>
    <w:uiPriority w:val="0"/>
    <w:rPr>
      <w:rFonts w:hint="eastAsia" w:ascii="Arial" w:hAnsi="Arial" w:cs="Arial"/>
    </w:rPr>
  </w:style>
  <w:style w:type="paragraph" w:customStyle="1" w:styleId="36">
    <w:name w:val="_Style 3"/>
    <w:autoRedefine/>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7">
    <w:name w:val="首行缩进"/>
    <w:basedOn w:val="1"/>
    <w:autoRedefine/>
    <w:qFormat/>
    <w:uiPriority w:val="0"/>
    <w:pPr>
      <w:ind w:firstLine="480" w:firstLineChars="200"/>
    </w:pPr>
  </w:style>
  <w:style w:type="character" w:customStyle="1" w:styleId="38">
    <w:name w:val="标题 1 Char"/>
    <w:link w:val="3"/>
    <w:autoRedefine/>
    <w:qFormat/>
    <w:uiPriority w:val="0"/>
    <w:rPr>
      <w:rFonts w:eastAsia="宋体"/>
      <w:b/>
      <w:kern w:val="44"/>
      <w:sz w:val="44"/>
      <w:lang w:val="en-US" w:eastAsia="zh-CN" w:bidi="ar-SA"/>
    </w:rPr>
  </w:style>
  <w:style w:type="character" w:customStyle="1" w:styleId="39">
    <w:name w:val="正文缩进 Char"/>
    <w:link w:val="5"/>
    <w:autoRedefine/>
    <w:qFormat/>
    <w:uiPriority w:val="0"/>
    <w:rPr>
      <w:rFonts w:eastAsia="宋体"/>
      <w:kern w:val="2"/>
      <w:sz w:val="24"/>
      <w:lang w:val="en-US" w:eastAsia="zh-CN" w:bidi="ar-SA"/>
    </w:rPr>
  </w:style>
  <w:style w:type="character" w:customStyle="1" w:styleId="40">
    <w:name w:val="批注文字 Char"/>
    <w:link w:val="9"/>
    <w:autoRedefine/>
    <w:qFormat/>
    <w:uiPriority w:val="0"/>
    <w:rPr>
      <w:rFonts w:eastAsia="宋体"/>
      <w:kern w:val="2"/>
      <w:sz w:val="21"/>
      <w:szCs w:val="24"/>
      <w:lang w:val="en-US" w:eastAsia="zh-CN" w:bidi="ar-SA"/>
    </w:rPr>
  </w:style>
  <w:style w:type="character" w:customStyle="1" w:styleId="41">
    <w:name w:val="纯文本 Char"/>
    <w:link w:val="12"/>
    <w:autoRedefine/>
    <w:qFormat/>
    <w:uiPriority w:val="0"/>
    <w:rPr>
      <w:rFonts w:ascii="宋体" w:hAnsi="Courier New" w:eastAsia="宋体"/>
      <w:kern w:val="2"/>
      <w:sz w:val="21"/>
      <w:szCs w:val="24"/>
      <w:lang w:val="en-US" w:eastAsia="zh-CN" w:bidi="ar-SA"/>
    </w:rPr>
  </w:style>
  <w:style w:type="character" w:customStyle="1" w:styleId="42">
    <w:name w:val="font71"/>
    <w:autoRedefine/>
    <w:qFormat/>
    <w:uiPriority w:val="0"/>
    <w:rPr>
      <w:rFonts w:hint="eastAsia" w:ascii="宋体" w:hAnsi="宋体" w:eastAsia="宋体" w:cs="宋体"/>
      <w:b/>
      <w:color w:val="000000"/>
      <w:sz w:val="36"/>
      <w:szCs w:val="36"/>
      <w:u w:val="none"/>
    </w:rPr>
  </w:style>
  <w:style w:type="character" w:customStyle="1" w:styleId="43">
    <w:name w:val="font01"/>
    <w:autoRedefine/>
    <w:qFormat/>
    <w:uiPriority w:val="0"/>
    <w:rPr>
      <w:rFonts w:hint="eastAsia" w:ascii="宋体" w:hAnsi="宋体" w:eastAsia="宋体" w:cs="宋体"/>
      <w:color w:val="000000"/>
      <w:sz w:val="18"/>
      <w:szCs w:val="18"/>
      <w:u w:val="none"/>
      <w:vertAlign w:val="superscript"/>
    </w:rPr>
  </w:style>
  <w:style w:type="character" w:customStyle="1" w:styleId="44">
    <w:name w:val="font61"/>
    <w:autoRedefine/>
    <w:qFormat/>
    <w:uiPriority w:val="0"/>
    <w:rPr>
      <w:rFonts w:hint="eastAsia" w:ascii="宋体" w:hAnsi="宋体" w:eastAsia="宋体" w:cs="宋体"/>
      <w:color w:val="333333"/>
      <w:sz w:val="20"/>
      <w:szCs w:val="20"/>
      <w:u w:val="none"/>
    </w:rPr>
  </w:style>
  <w:style w:type="character" w:customStyle="1" w:styleId="45">
    <w:name w:val="font91"/>
    <w:autoRedefine/>
    <w:qFormat/>
    <w:uiPriority w:val="0"/>
    <w:rPr>
      <w:rFonts w:hint="default" w:ascii="Times New Roman" w:hAnsi="Times New Roman" w:cs="Times New Roman"/>
      <w:b/>
      <w:color w:val="000000"/>
      <w:sz w:val="22"/>
      <w:szCs w:val="22"/>
      <w:u w:val="none"/>
    </w:rPr>
  </w:style>
  <w:style w:type="character" w:customStyle="1" w:styleId="46">
    <w:name w:val="font51"/>
    <w:autoRedefine/>
    <w:qFormat/>
    <w:uiPriority w:val="0"/>
    <w:rPr>
      <w:rFonts w:hint="eastAsia" w:ascii="宋体" w:hAnsi="宋体" w:eastAsia="宋体" w:cs="宋体"/>
      <w:color w:val="000000"/>
      <w:sz w:val="20"/>
      <w:szCs w:val="20"/>
      <w:u w:val="none"/>
      <w:vertAlign w:val="superscript"/>
    </w:rPr>
  </w:style>
  <w:style w:type="character" w:customStyle="1" w:styleId="47">
    <w:name w:val="p141"/>
    <w:autoRedefine/>
    <w:qFormat/>
    <w:uiPriority w:val="0"/>
    <w:rPr>
      <w:sz w:val="21"/>
      <w:szCs w:val="21"/>
    </w:rPr>
  </w:style>
  <w:style w:type="character" w:customStyle="1" w:styleId="48">
    <w:name w:val="font21"/>
    <w:autoRedefine/>
    <w:qFormat/>
    <w:uiPriority w:val="0"/>
    <w:rPr>
      <w:rFonts w:hint="eastAsia" w:ascii="宋体" w:hAnsi="宋体" w:eastAsia="宋体" w:cs="宋体"/>
      <w:color w:val="000000"/>
      <w:sz w:val="20"/>
      <w:szCs w:val="20"/>
      <w:u w:val="none"/>
      <w:vertAlign w:val="superscript"/>
    </w:rPr>
  </w:style>
  <w:style w:type="character" w:customStyle="1" w:styleId="49">
    <w:name w:val="font81"/>
    <w:autoRedefine/>
    <w:qFormat/>
    <w:uiPriority w:val="0"/>
    <w:rPr>
      <w:rFonts w:hint="eastAsia" w:ascii="宋体" w:hAnsi="宋体" w:eastAsia="宋体" w:cs="宋体"/>
      <w:color w:val="000000"/>
      <w:sz w:val="20"/>
      <w:szCs w:val="20"/>
      <w:u w:val="none"/>
    </w:rPr>
  </w:style>
  <w:style w:type="character" w:customStyle="1" w:styleId="50">
    <w:name w:val="font41"/>
    <w:autoRedefine/>
    <w:qFormat/>
    <w:uiPriority w:val="0"/>
    <w:rPr>
      <w:rFonts w:hint="eastAsia" w:ascii="宋体" w:hAnsi="宋体" w:eastAsia="宋体" w:cs="宋体"/>
      <w:color w:val="000000"/>
      <w:sz w:val="20"/>
      <w:szCs w:val="20"/>
      <w:u w:val="none"/>
    </w:rPr>
  </w:style>
  <w:style w:type="character" w:customStyle="1" w:styleId="51">
    <w:name w:val="font31"/>
    <w:autoRedefine/>
    <w:qFormat/>
    <w:uiPriority w:val="0"/>
    <w:rPr>
      <w:rFonts w:hint="eastAsia" w:ascii="宋体" w:hAnsi="宋体" w:eastAsia="宋体" w:cs="宋体"/>
      <w:color w:val="000000"/>
      <w:sz w:val="20"/>
      <w:szCs w:val="20"/>
      <w:u w:val="none"/>
    </w:rPr>
  </w:style>
  <w:style w:type="character" w:customStyle="1" w:styleId="52">
    <w:name w:val="font11"/>
    <w:autoRedefine/>
    <w:qFormat/>
    <w:uiPriority w:val="0"/>
    <w:rPr>
      <w:rFonts w:hint="eastAsia" w:ascii="宋体" w:hAnsi="宋体" w:eastAsia="宋体" w:cs="宋体"/>
      <w:color w:val="000000"/>
      <w:sz w:val="20"/>
      <w:szCs w:val="20"/>
      <w:u w:val="none"/>
    </w:rPr>
  </w:style>
  <w:style w:type="character" w:customStyle="1" w:styleId="53">
    <w:name w:val="font101"/>
    <w:autoRedefine/>
    <w:qFormat/>
    <w:uiPriority w:val="0"/>
    <w:rPr>
      <w:rFonts w:hint="eastAsia" w:ascii="宋体" w:hAnsi="宋体" w:eastAsia="宋体" w:cs="宋体"/>
      <w:color w:val="000000"/>
      <w:sz w:val="20"/>
      <w:szCs w:val="20"/>
      <w:u w:val="none"/>
      <w:vertAlign w:val="superscript"/>
    </w:rPr>
  </w:style>
  <w:style w:type="paragraph" w:customStyle="1" w:styleId="54">
    <w:name w:val="列表段落1"/>
    <w:basedOn w:val="1"/>
    <w:autoRedefine/>
    <w:qFormat/>
    <w:uiPriority w:val="34"/>
    <w:pPr>
      <w:ind w:firstLine="420" w:firstLineChars="200"/>
    </w:pPr>
    <w:rPr>
      <w:rFonts w:eastAsia="黑体"/>
      <w:bCs/>
      <w:sz w:val="30"/>
      <w:szCs w:val="30"/>
    </w:rPr>
  </w:style>
  <w:style w:type="paragraph" w:customStyle="1" w:styleId="55">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6">
    <w:name w:val="Char"/>
    <w:basedOn w:val="1"/>
    <w:autoRedefine/>
    <w:qFormat/>
    <w:uiPriority w:val="0"/>
    <w:pPr>
      <w:widowControl/>
      <w:spacing w:line="400" w:lineRule="exact"/>
      <w:jc w:val="center"/>
    </w:pPr>
    <w:rPr>
      <w:rFonts w:ascii="Verdana" w:hAnsi="Verdana"/>
      <w:kern w:val="0"/>
      <w:szCs w:val="20"/>
      <w:lang w:eastAsia="en-US"/>
    </w:rPr>
  </w:style>
  <w:style w:type="paragraph" w:customStyle="1" w:styleId="57">
    <w:name w:val="样式小五正文"/>
    <w:basedOn w:val="1"/>
    <w:autoRedefine/>
    <w:qFormat/>
    <w:uiPriority w:val="0"/>
    <w:pPr>
      <w:spacing w:line="360" w:lineRule="auto"/>
      <w:ind w:firstLine="420" w:firstLineChars="200"/>
    </w:pPr>
    <w:rPr>
      <w:szCs w:val="21"/>
    </w:rPr>
  </w:style>
  <w:style w:type="paragraph" w:customStyle="1" w:styleId="58">
    <w:name w:val="Char Char Char Char Char Char"/>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9">
    <w:name w:val="文档正文"/>
    <w:basedOn w:val="1"/>
    <w:autoRedefine/>
    <w:qFormat/>
    <w:uiPriority w:val="0"/>
    <w:pPr>
      <w:adjustRightInd w:val="0"/>
      <w:spacing w:line="480" w:lineRule="atLeast"/>
      <w:ind w:firstLine="567"/>
      <w:textAlignment w:val="baseline"/>
    </w:pPr>
    <w:rPr>
      <w:rFonts w:ascii="仿宋_GB2312" w:hAnsi="Times New Roman" w:eastAsia="仿宋_GB2312"/>
      <w:kern w:val="0"/>
      <w:sz w:val="28"/>
      <w:szCs w:val="20"/>
    </w:rPr>
  </w:style>
  <w:style w:type="paragraph" w:styleId="60">
    <w:name w:val="List Paragraph"/>
    <w:basedOn w:val="1"/>
    <w:autoRedefine/>
    <w:qFormat/>
    <w:uiPriority w:val="34"/>
    <w:pPr>
      <w:ind w:firstLine="420" w:firstLineChars="200"/>
    </w:pPr>
    <w:rPr>
      <w:rFonts w:eastAsia="黑体"/>
      <w:bCs/>
      <w:sz w:val="30"/>
      <w:szCs w:val="30"/>
    </w:rPr>
  </w:style>
  <w:style w:type="paragraph" w:customStyle="1" w:styleId="61">
    <w:name w:val="Char 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62">
    <w:name w:val="Default"/>
    <w:autoRedefine/>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customStyle="1" w:styleId="63">
    <w:name w:val="页脚2"/>
    <w:basedOn w:val="1"/>
    <w:autoRedefine/>
    <w:qFormat/>
    <w:uiPriority w:val="0"/>
    <w:pPr>
      <w:widowControl/>
      <w:pBdr>
        <w:top w:val="single" w:color="auto" w:sz="6" w:space="0"/>
      </w:pBdr>
      <w:jc w:val="right"/>
      <w:textAlignment w:val="center"/>
    </w:pPr>
    <w:rPr>
      <w:rFonts w:ascii="宋体" w:hAnsi="宋体"/>
      <w:kern w:val="0"/>
      <w:sz w:val="18"/>
      <w:szCs w:val="18"/>
    </w:rPr>
  </w:style>
  <w:style w:type="paragraph" w:customStyle="1" w:styleId="64">
    <w:name w:val="Table Paragraph"/>
    <w:basedOn w:val="1"/>
    <w:autoRedefine/>
    <w:qFormat/>
    <w:uiPriority w:val="1"/>
    <w:rPr>
      <w:rFonts w:ascii="宋体" w:hAnsi="宋体" w:cs="宋体"/>
      <w:lang w:val="zh-CN" w:bidi="zh-CN"/>
    </w:rPr>
  </w:style>
  <w:style w:type="paragraph" w:customStyle="1" w:styleId="65">
    <w:name w:val="Char Char11"/>
    <w:basedOn w:val="1"/>
    <w:autoRedefine/>
    <w:qFormat/>
    <w:uiPriority w:val="0"/>
    <w:pPr>
      <w:widowControl/>
      <w:spacing w:after="160" w:line="240" w:lineRule="exact"/>
      <w:jc w:val="left"/>
    </w:pPr>
  </w:style>
  <w:style w:type="paragraph" w:customStyle="1" w:styleId="66">
    <w:name w:val="Char Char Char Char Char Char Char Char Char Char"/>
    <w:basedOn w:val="1"/>
    <w:autoRedefine/>
    <w:qFormat/>
    <w:uiPriority w:val="0"/>
    <w:rPr>
      <w:rFonts w:ascii="Tahoma" w:hAnsi="Tahoma"/>
      <w:sz w:val="24"/>
      <w:szCs w:val="20"/>
    </w:rPr>
  </w:style>
  <w:style w:type="paragraph" w:customStyle="1" w:styleId="67">
    <w:name w:val="图"/>
    <w:basedOn w:val="1"/>
    <w:autoRedefine/>
    <w:qFormat/>
    <w:uiPriority w:val="0"/>
    <w:pPr>
      <w:keepNext/>
      <w:adjustRightInd w:val="0"/>
      <w:spacing w:before="60" w:after="60" w:line="300" w:lineRule="auto"/>
      <w:jc w:val="center"/>
      <w:textAlignment w:val="center"/>
    </w:pPr>
    <w:rPr>
      <w:snapToGrid w:val="0"/>
      <w:spacing w:val="20"/>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theme" Target="theme/theme1.xml"/><Relationship Id="rId31" Type="http://schemas.openxmlformats.org/officeDocument/2006/relationships/footer" Target="footer24.xml"/><Relationship Id="rId30" Type="http://schemas.openxmlformats.org/officeDocument/2006/relationships/footer" Target="footer23.xml"/><Relationship Id="rId3" Type="http://schemas.openxmlformats.org/officeDocument/2006/relationships/header" Target="header1.xml"/><Relationship Id="rId29" Type="http://schemas.openxmlformats.org/officeDocument/2006/relationships/footer" Target="footer22.xml"/><Relationship Id="rId28" Type="http://schemas.openxmlformats.org/officeDocument/2006/relationships/footer" Target="footer21.xml"/><Relationship Id="rId27" Type="http://schemas.openxmlformats.org/officeDocument/2006/relationships/footer" Target="footer20.xml"/><Relationship Id="rId26" Type="http://schemas.openxmlformats.org/officeDocument/2006/relationships/footer" Target="footer19.xml"/><Relationship Id="rId25" Type="http://schemas.openxmlformats.org/officeDocument/2006/relationships/footer" Target="footer18.xml"/><Relationship Id="rId24" Type="http://schemas.openxmlformats.org/officeDocument/2006/relationships/footer" Target="footer17.xml"/><Relationship Id="rId23" Type="http://schemas.openxmlformats.org/officeDocument/2006/relationships/footer" Target="footer16.xml"/><Relationship Id="rId22" Type="http://schemas.openxmlformats.org/officeDocument/2006/relationships/footer" Target="footer15.xml"/><Relationship Id="rId21" Type="http://schemas.openxmlformats.org/officeDocument/2006/relationships/footer" Target="footer14.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1"/>
    <customShpInfo spid="_x0000_s2049"/>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89</Pages>
  <Words>17242</Words>
  <Characters>18107</Characters>
  <Lines>81</Lines>
  <Paragraphs>114</Paragraphs>
  <TotalTime>4</TotalTime>
  <ScaleCrop>false</ScaleCrop>
  <LinksUpToDate>false</LinksUpToDate>
  <CharactersWithSpaces>18820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2021-09-13T12:16:00Z</dcterms:created>
  <dc:creator>faing</dc:creator>
  <cp:lastModifiedBy>WPS_1648456649</cp:lastModifiedBy>
  <cp:lastPrinted>2022-03-30T09:01:00Z</cp:lastPrinted>
  <dcterms:modified xsi:type="dcterms:W3CDTF">2024-10-18T02:13:43Z</dcterms:modified>
  <dc:title>广东省机电设备招标局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22BB5062A4F940E9AB9831C2A82E1574</vt:lpwstr>
  </property>
</Properties>
</file>